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9D24" w14:textId="01E3E7A6" w:rsidR="0073159A" w:rsidRDefault="00DB294B" w:rsidP="00DB294B">
      <w:pPr>
        <w:jc w:val="center"/>
        <w:rPr>
          <w:b/>
          <w:u w:val="single"/>
        </w:rPr>
      </w:pPr>
      <w:r w:rsidRPr="00DB294B">
        <w:rPr>
          <w:b/>
          <w:u w:val="single"/>
        </w:rPr>
        <w:t xml:space="preserve">FY 21 </w:t>
      </w:r>
      <w:r w:rsidR="00A23027">
        <w:rPr>
          <w:b/>
          <w:u w:val="single"/>
        </w:rPr>
        <w:t xml:space="preserve">September 2020 through June 2021 </w:t>
      </w:r>
      <w:r w:rsidRPr="00DB294B">
        <w:rPr>
          <w:b/>
          <w:u w:val="single"/>
        </w:rPr>
        <w:t xml:space="preserve">School Readiness </w:t>
      </w:r>
      <w:r w:rsidR="00592FB5">
        <w:rPr>
          <w:b/>
          <w:u w:val="single"/>
        </w:rPr>
        <w:t>Guidance</w:t>
      </w:r>
    </w:p>
    <w:p w14:paraId="42082BBF" w14:textId="77777777" w:rsidR="00DB294B" w:rsidRDefault="006C170B" w:rsidP="00DB294B">
      <w:pPr>
        <w:pStyle w:val="NoSpacing"/>
        <w:rPr>
          <w:b/>
          <w:u w:val="single"/>
        </w:rPr>
      </w:pPr>
      <w:r>
        <w:rPr>
          <w:b/>
          <w:u w:val="single"/>
        </w:rPr>
        <w:t>RFP PROCESS</w:t>
      </w:r>
    </w:p>
    <w:p w14:paraId="4E8304AB" w14:textId="77777777" w:rsidR="00477C26" w:rsidRDefault="00477C26" w:rsidP="00DB294B">
      <w:pPr>
        <w:pStyle w:val="NoSpacing"/>
        <w:rPr>
          <w:b/>
          <w:u w:val="single"/>
        </w:rPr>
      </w:pPr>
    </w:p>
    <w:p w14:paraId="1356FC80" w14:textId="3E8B5CF3" w:rsidR="00604486" w:rsidRDefault="007C6BB0" w:rsidP="00DB294B">
      <w:pPr>
        <w:pStyle w:val="NoSpacing"/>
        <w:rPr>
          <w:b/>
        </w:rPr>
      </w:pPr>
      <w:r>
        <w:rPr>
          <w:b/>
        </w:rPr>
        <w:t xml:space="preserve">The </w:t>
      </w:r>
      <w:r w:rsidR="00604486" w:rsidRPr="00604486">
        <w:rPr>
          <w:b/>
        </w:rPr>
        <w:t>Community RFP</w:t>
      </w:r>
      <w:r w:rsidR="00604486">
        <w:rPr>
          <w:b/>
        </w:rPr>
        <w:t xml:space="preserve"> </w:t>
      </w:r>
      <w:r>
        <w:rPr>
          <w:b/>
        </w:rPr>
        <w:t>must be submitted i</w:t>
      </w:r>
      <w:r w:rsidR="00EB1A3D">
        <w:rPr>
          <w:b/>
        </w:rPr>
        <w:t xml:space="preserve">n Qualtrics when </w:t>
      </w:r>
      <w:r>
        <w:rPr>
          <w:b/>
        </w:rPr>
        <w:t xml:space="preserve">requesting </w:t>
      </w:r>
      <w:r w:rsidR="006F7B05">
        <w:rPr>
          <w:b/>
        </w:rPr>
        <w:t xml:space="preserve">FY21 </w:t>
      </w:r>
      <w:r>
        <w:rPr>
          <w:b/>
        </w:rPr>
        <w:t>continuation</w:t>
      </w:r>
      <w:r w:rsidR="006F7B05">
        <w:rPr>
          <w:b/>
        </w:rPr>
        <w:t xml:space="preserve"> funding.</w:t>
      </w:r>
    </w:p>
    <w:p w14:paraId="0B216EF4" w14:textId="77777777" w:rsidR="00604486" w:rsidRDefault="00604486" w:rsidP="00DB294B">
      <w:pPr>
        <w:pStyle w:val="NoSpacing"/>
        <w:rPr>
          <w:b/>
        </w:rPr>
      </w:pPr>
      <w:r>
        <w:rPr>
          <w:b/>
        </w:rPr>
        <w:t xml:space="preserve"> </w:t>
      </w:r>
    </w:p>
    <w:p w14:paraId="1CAA3FD0" w14:textId="7D9B282A" w:rsidR="00DB294B" w:rsidRDefault="007C6BB0" w:rsidP="00DB294B">
      <w:pPr>
        <w:pStyle w:val="NoSpacing"/>
        <w:rPr>
          <w:b/>
        </w:rPr>
      </w:pPr>
      <w:r>
        <w:rPr>
          <w:b/>
        </w:rPr>
        <w:t>Th</w:t>
      </w:r>
      <w:r w:rsidR="00EB1A3D">
        <w:rPr>
          <w:b/>
        </w:rPr>
        <w:t xml:space="preserve">e </w:t>
      </w:r>
      <w:r>
        <w:rPr>
          <w:b/>
        </w:rPr>
        <w:t xml:space="preserve">application must include accurate data for </w:t>
      </w:r>
      <w:r w:rsidR="00604486">
        <w:rPr>
          <w:b/>
        </w:rPr>
        <w:t xml:space="preserve">all </w:t>
      </w:r>
      <w:r w:rsidR="00DB294B" w:rsidRPr="00477C26">
        <w:rPr>
          <w:b/>
        </w:rPr>
        <w:t>School Readiness Program</w:t>
      </w:r>
      <w:r w:rsidR="00604486">
        <w:rPr>
          <w:b/>
        </w:rPr>
        <w:t xml:space="preserve"> sites </w:t>
      </w:r>
      <w:r w:rsidR="00BE3846">
        <w:rPr>
          <w:b/>
        </w:rPr>
        <w:t xml:space="preserve">funded in FY20 </w:t>
      </w:r>
      <w:r w:rsidR="00983734">
        <w:rPr>
          <w:b/>
        </w:rPr>
        <w:t xml:space="preserve">requesting </w:t>
      </w:r>
      <w:r>
        <w:rPr>
          <w:b/>
        </w:rPr>
        <w:t xml:space="preserve">FY 21 </w:t>
      </w:r>
      <w:r w:rsidR="00DE21E7">
        <w:rPr>
          <w:b/>
        </w:rPr>
        <w:t xml:space="preserve">September 2020 to June 2021 </w:t>
      </w:r>
      <w:r w:rsidR="00604486">
        <w:rPr>
          <w:b/>
        </w:rPr>
        <w:t>continuation f</w:t>
      </w:r>
      <w:r w:rsidR="00DB294B" w:rsidRPr="00477C26">
        <w:rPr>
          <w:b/>
        </w:rPr>
        <w:t>unding</w:t>
      </w:r>
      <w:r w:rsidR="00F34CBF">
        <w:rPr>
          <w:b/>
        </w:rPr>
        <w:t>.</w:t>
      </w:r>
      <w:r w:rsidR="00DB294B" w:rsidRPr="00477C26">
        <w:rPr>
          <w:b/>
        </w:rPr>
        <w:t xml:space="preserve"> </w:t>
      </w:r>
      <w:r w:rsidR="00D46C8B">
        <w:rPr>
          <w:b/>
        </w:rPr>
        <w:t xml:space="preserve">OEC shall review </w:t>
      </w:r>
      <w:r w:rsidR="00983734">
        <w:rPr>
          <w:b/>
        </w:rPr>
        <w:t xml:space="preserve">the community </w:t>
      </w:r>
      <w:r w:rsidR="00D46C8B">
        <w:rPr>
          <w:b/>
        </w:rPr>
        <w:t>applications and provide communities with approv</w:t>
      </w:r>
      <w:r w:rsidR="004F04A1">
        <w:rPr>
          <w:b/>
        </w:rPr>
        <w:t>ed applications confirmation of the approval</w:t>
      </w:r>
      <w:r w:rsidR="00A805C9">
        <w:rPr>
          <w:b/>
        </w:rPr>
        <w:t xml:space="preserve"> via the electronic grant and budget system</w:t>
      </w:r>
      <w:r w:rsidR="00D46C8B">
        <w:rPr>
          <w:b/>
        </w:rPr>
        <w:t>.</w:t>
      </w:r>
    </w:p>
    <w:p w14:paraId="270C9D2A" w14:textId="29F62E9F" w:rsidR="00983734" w:rsidRDefault="00983734" w:rsidP="00DB294B">
      <w:pPr>
        <w:pStyle w:val="NoSpacing"/>
        <w:rPr>
          <w:b/>
        </w:rPr>
      </w:pPr>
    </w:p>
    <w:p w14:paraId="646765D9" w14:textId="6A8B8A52" w:rsidR="00983734" w:rsidRPr="005B2ED0" w:rsidRDefault="00DE21E7" w:rsidP="00DB294B">
      <w:pPr>
        <w:pStyle w:val="NoSpacing"/>
      </w:pPr>
      <w:r>
        <w:t>The d</w:t>
      </w:r>
      <w:r w:rsidR="00983734" w:rsidRPr="005B2ED0">
        <w:t xml:space="preserve">ocuments </w:t>
      </w:r>
      <w:r w:rsidR="005B2ED0">
        <w:t xml:space="preserve">required for programs to request FY 21 Continuation funding </w:t>
      </w:r>
      <w:r>
        <w:t>ar</w:t>
      </w:r>
      <w:r w:rsidR="00A805C9" w:rsidRPr="005B2ED0">
        <w:t>e</w:t>
      </w:r>
      <w:r w:rsidR="00983734" w:rsidRPr="005B2ED0">
        <w:t xml:space="preserve"> </w:t>
      </w:r>
      <w:r>
        <w:t>embedded</w:t>
      </w:r>
      <w:r w:rsidR="00983734" w:rsidRPr="005B2ED0">
        <w:t xml:space="preserve"> in the </w:t>
      </w:r>
      <w:r>
        <w:t xml:space="preserve">community </w:t>
      </w:r>
      <w:r w:rsidR="00983734" w:rsidRPr="005B2ED0">
        <w:t>application</w:t>
      </w:r>
      <w:r w:rsidR="005B2ED0">
        <w:t>.  Documents sh</w:t>
      </w:r>
      <w:r>
        <w:t>all</w:t>
      </w:r>
      <w:r w:rsidR="005B2ED0">
        <w:t xml:space="preserve"> </w:t>
      </w:r>
      <w:r w:rsidR="00983734" w:rsidRPr="005B2ED0">
        <w:t xml:space="preserve">be downloaded and provided to programs </w:t>
      </w:r>
      <w:r>
        <w:t>deemed eligible by the Council to request</w:t>
      </w:r>
      <w:r w:rsidR="00983734" w:rsidRPr="005B2ED0">
        <w:t xml:space="preserve"> </w:t>
      </w:r>
      <w:r w:rsidR="005B2ED0">
        <w:t>funding.</w:t>
      </w:r>
      <w:r w:rsidR="00983734" w:rsidRPr="005B2ED0">
        <w:t xml:space="preserve">  </w:t>
      </w:r>
      <w:r w:rsidR="00A805C9" w:rsidRPr="005B2ED0">
        <w:t>Completed d</w:t>
      </w:r>
      <w:r w:rsidR="00983734" w:rsidRPr="005B2ED0">
        <w:t>ocuments shall be</w:t>
      </w:r>
      <w:bookmarkStart w:id="0" w:name="_GoBack"/>
      <w:bookmarkEnd w:id="0"/>
      <w:r w:rsidR="00983734" w:rsidRPr="005B2ED0">
        <w:t xml:space="preserve"> submitted to the Council and maintained at the local level.  </w:t>
      </w:r>
      <w:r w:rsidR="00A805C9" w:rsidRPr="005B2ED0">
        <w:t xml:space="preserve">The information the Council obtains in these documents </w:t>
      </w:r>
      <w:r w:rsidR="00983734" w:rsidRPr="005B2ED0">
        <w:t>shall be included in the Community application</w:t>
      </w:r>
      <w:r w:rsidR="00A805C9" w:rsidRPr="005B2ED0">
        <w:t xml:space="preserve"> as applicable</w:t>
      </w:r>
      <w:r w:rsidR="00983734" w:rsidRPr="005B2ED0">
        <w:t xml:space="preserve">.  </w:t>
      </w:r>
      <w:r w:rsidR="00A805C9" w:rsidRPr="005B2ED0">
        <w:t>The</w:t>
      </w:r>
      <w:r w:rsidR="005B2ED0">
        <w:t xml:space="preserve">se </w:t>
      </w:r>
      <w:r w:rsidR="00A805C9" w:rsidRPr="005B2ED0">
        <w:t>documents include:</w:t>
      </w:r>
    </w:p>
    <w:p w14:paraId="375C8C90" w14:textId="2DD5A0FA" w:rsidR="00983734" w:rsidRDefault="00983734" w:rsidP="00DE21E7">
      <w:pPr>
        <w:pStyle w:val="NoSpacing"/>
        <w:numPr>
          <w:ilvl w:val="0"/>
          <w:numId w:val="37"/>
        </w:numPr>
      </w:pPr>
      <w:r>
        <w:t>Program Space and Funding Grid</w:t>
      </w:r>
    </w:p>
    <w:p w14:paraId="778D6CD6" w14:textId="01DB93C5" w:rsidR="00DE21E7" w:rsidRDefault="00DE21E7" w:rsidP="00DE21E7">
      <w:pPr>
        <w:pStyle w:val="NoSpacing"/>
        <w:numPr>
          <w:ilvl w:val="0"/>
          <w:numId w:val="37"/>
        </w:numPr>
      </w:pPr>
      <w:r>
        <w:t>Program Data Grid</w:t>
      </w:r>
    </w:p>
    <w:p w14:paraId="56DE5BEB" w14:textId="0646572A" w:rsidR="00983734" w:rsidRDefault="00983734" w:rsidP="00983734">
      <w:pPr>
        <w:pStyle w:val="NoSpacing"/>
        <w:numPr>
          <w:ilvl w:val="0"/>
          <w:numId w:val="37"/>
        </w:numPr>
      </w:pPr>
      <w:r>
        <w:t>Program Site Relocation Details</w:t>
      </w:r>
    </w:p>
    <w:p w14:paraId="538AA4E6" w14:textId="5673A66B" w:rsidR="00DE21E7" w:rsidRDefault="00DE21E7" w:rsidP="00983734">
      <w:pPr>
        <w:pStyle w:val="NoSpacing"/>
        <w:numPr>
          <w:ilvl w:val="0"/>
          <w:numId w:val="37"/>
        </w:numPr>
      </w:pPr>
      <w:r>
        <w:t>Program Site Deletion Grid</w:t>
      </w:r>
    </w:p>
    <w:p w14:paraId="65D030A9" w14:textId="3E1BAF75" w:rsidR="00983734" w:rsidRDefault="00983734" w:rsidP="00983734">
      <w:pPr>
        <w:pStyle w:val="NoSpacing"/>
        <w:numPr>
          <w:ilvl w:val="0"/>
          <w:numId w:val="37"/>
        </w:numPr>
      </w:pPr>
      <w:r>
        <w:t>Program Budget Workbook</w:t>
      </w:r>
    </w:p>
    <w:p w14:paraId="3B61DC16" w14:textId="77777777" w:rsidR="00DE21E7" w:rsidRDefault="00983734" w:rsidP="00983734">
      <w:pPr>
        <w:pStyle w:val="NoSpacing"/>
        <w:numPr>
          <w:ilvl w:val="0"/>
          <w:numId w:val="37"/>
        </w:numPr>
      </w:pPr>
      <w:r>
        <w:t xml:space="preserve">Statement of Assurances </w:t>
      </w:r>
    </w:p>
    <w:p w14:paraId="4726EADA" w14:textId="2B642165" w:rsidR="00983734" w:rsidRDefault="00983734" w:rsidP="00983734">
      <w:pPr>
        <w:pStyle w:val="NoSpacing"/>
        <w:numPr>
          <w:ilvl w:val="0"/>
          <w:numId w:val="37"/>
        </w:numPr>
      </w:pPr>
      <w:r>
        <w:t>Statement of Assurances Signature Page</w:t>
      </w:r>
    </w:p>
    <w:p w14:paraId="236724C2" w14:textId="77777777" w:rsidR="00A805C9" w:rsidRDefault="00A805C9" w:rsidP="00A805C9">
      <w:pPr>
        <w:pStyle w:val="NoSpacing"/>
        <w:rPr>
          <w:b/>
        </w:rPr>
      </w:pPr>
    </w:p>
    <w:p w14:paraId="223BFFD0" w14:textId="0ECC1EB8" w:rsidR="00A805C9" w:rsidRPr="00DE21E7" w:rsidRDefault="00A805C9" w:rsidP="00A805C9">
      <w:pPr>
        <w:pStyle w:val="NoSpacing"/>
      </w:pPr>
      <w:r w:rsidRPr="00DE21E7">
        <w:t xml:space="preserve">Scoring </w:t>
      </w:r>
      <w:r w:rsidR="00DE21E7">
        <w:t xml:space="preserve">for </w:t>
      </w:r>
      <w:r w:rsidRPr="00DE21E7">
        <w:t>applicants requesting continuation funding is not required.</w:t>
      </w:r>
    </w:p>
    <w:p w14:paraId="4A5ED8BE" w14:textId="77777777" w:rsidR="007C6BB0" w:rsidRDefault="007C6BB0" w:rsidP="00DB294B">
      <w:pPr>
        <w:pStyle w:val="NoSpacing"/>
        <w:rPr>
          <w:b/>
        </w:rPr>
      </w:pPr>
    </w:p>
    <w:p w14:paraId="33ADC41F" w14:textId="04931557" w:rsidR="00BE3846" w:rsidRDefault="00A805C9" w:rsidP="00DB294B">
      <w:pPr>
        <w:pStyle w:val="NoSpacing"/>
        <w:rPr>
          <w:b/>
        </w:rPr>
      </w:pPr>
      <w:r>
        <w:rPr>
          <w:b/>
        </w:rPr>
        <w:t xml:space="preserve">The Community application includes the </w:t>
      </w:r>
      <w:r w:rsidR="00BE3846">
        <w:rPr>
          <w:b/>
        </w:rPr>
        <w:t xml:space="preserve">following documents </w:t>
      </w:r>
      <w:r w:rsidR="00F5622B">
        <w:rPr>
          <w:b/>
        </w:rPr>
        <w:t>that shall be c</w:t>
      </w:r>
      <w:r>
        <w:rPr>
          <w:b/>
        </w:rPr>
        <w:t>omplete</w:t>
      </w:r>
      <w:r w:rsidR="00F5622B">
        <w:rPr>
          <w:b/>
        </w:rPr>
        <w:t>d</w:t>
      </w:r>
      <w:r>
        <w:rPr>
          <w:b/>
        </w:rPr>
        <w:t xml:space="preserve"> and upload</w:t>
      </w:r>
      <w:r w:rsidR="00F5622B">
        <w:rPr>
          <w:b/>
        </w:rPr>
        <w:t>ed</w:t>
      </w:r>
      <w:r>
        <w:rPr>
          <w:b/>
        </w:rPr>
        <w:t xml:space="preserve"> into the Community application</w:t>
      </w:r>
      <w:r w:rsidR="00F5622B">
        <w:rPr>
          <w:b/>
        </w:rPr>
        <w:t>:</w:t>
      </w:r>
    </w:p>
    <w:p w14:paraId="2C499D99" w14:textId="77777777" w:rsidR="00604486" w:rsidRDefault="00477C26" w:rsidP="005D4FB5">
      <w:pPr>
        <w:pStyle w:val="NoSpacing"/>
        <w:numPr>
          <w:ilvl w:val="0"/>
          <w:numId w:val="1"/>
        </w:numPr>
      </w:pPr>
      <w:r>
        <w:t xml:space="preserve">Space </w:t>
      </w:r>
      <w:r w:rsidR="00BE3846">
        <w:t xml:space="preserve">and Funding </w:t>
      </w:r>
      <w:r>
        <w:t xml:space="preserve">Grid </w:t>
      </w:r>
    </w:p>
    <w:p w14:paraId="1F2FC33C" w14:textId="5F742C22" w:rsidR="00477C26" w:rsidRDefault="00477C26" w:rsidP="00477C26">
      <w:pPr>
        <w:pStyle w:val="NoSpacing"/>
        <w:numPr>
          <w:ilvl w:val="0"/>
          <w:numId w:val="1"/>
        </w:numPr>
      </w:pPr>
      <w:r>
        <w:t xml:space="preserve">Program </w:t>
      </w:r>
      <w:r w:rsidR="00F34CBF">
        <w:t>Data</w:t>
      </w:r>
      <w:r>
        <w:t xml:space="preserve"> Grid </w:t>
      </w:r>
    </w:p>
    <w:p w14:paraId="06CE00ED" w14:textId="22A358E1" w:rsidR="00127A7D" w:rsidRDefault="00127A7D" w:rsidP="00477C26">
      <w:pPr>
        <w:pStyle w:val="NoSpacing"/>
        <w:numPr>
          <w:ilvl w:val="0"/>
          <w:numId w:val="1"/>
        </w:numPr>
      </w:pPr>
      <w:r>
        <w:t>Site Relocation Details</w:t>
      </w:r>
    </w:p>
    <w:p w14:paraId="6F9564A3" w14:textId="2BF92B91" w:rsidR="00A805C9" w:rsidRDefault="00F5622B" w:rsidP="00477C26">
      <w:pPr>
        <w:pStyle w:val="NoSpacing"/>
        <w:numPr>
          <w:ilvl w:val="0"/>
          <w:numId w:val="1"/>
        </w:numPr>
      </w:pPr>
      <w:r>
        <w:t>Program Site Deletion Grid</w:t>
      </w:r>
    </w:p>
    <w:p w14:paraId="2F7B62F5" w14:textId="5593D01A" w:rsidR="00127A7D" w:rsidRDefault="00127A7D" w:rsidP="00477C26">
      <w:pPr>
        <w:pStyle w:val="NoSpacing"/>
        <w:numPr>
          <w:ilvl w:val="0"/>
          <w:numId w:val="1"/>
        </w:numPr>
      </w:pPr>
      <w:r>
        <w:t>Community Waiver for Variance in Schedule</w:t>
      </w:r>
      <w:r w:rsidR="00A805C9">
        <w:t>s</w:t>
      </w:r>
    </w:p>
    <w:p w14:paraId="0661A7AC" w14:textId="77CBC2BA" w:rsidR="00477C26" w:rsidRDefault="00477C26" w:rsidP="00477C26">
      <w:pPr>
        <w:pStyle w:val="NoSpacing"/>
        <w:numPr>
          <w:ilvl w:val="0"/>
          <w:numId w:val="1"/>
        </w:numPr>
      </w:pPr>
      <w:r>
        <w:t xml:space="preserve">Community </w:t>
      </w:r>
      <w:r w:rsidR="00F34CBF">
        <w:t>B</w:t>
      </w:r>
      <w:r>
        <w:t>udget</w:t>
      </w:r>
      <w:r w:rsidR="00127A7D">
        <w:t xml:space="preserve"> Workbook</w:t>
      </w:r>
    </w:p>
    <w:p w14:paraId="6B6A20E9" w14:textId="77777777" w:rsidR="00477C26" w:rsidRDefault="00477C26" w:rsidP="00477C26">
      <w:pPr>
        <w:pStyle w:val="NoSpacing"/>
        <w:numPr>
          <w:ilvl w:val="0"/>
          <w:numId w:val="1"/>
        </w:numPr>
      </w:pPr>
      <w:r>
        <w:t xml:space="preserve">Grant </w:t>
      </w:r>
      <w:r w:rsidR="00F34CBF">
        <w:t>S</w:t>
      </w:r>
      <w:r>
        <w:t>ignature page</w:t>
      </w:r>
    </w:p>
    <w:p w14:paraId="617D8A05" w14:textId="77777777" w:rsidR="00DB294B" w:rsidRDefault="00477C26" w:rsidP="00D040B8">
      <w:pPr>
        <w:pStyle w:val="NoSpacing"/>
        <w:numPr>
          <w:ilvl w:val="0"/>
          <w:numId w:val="1"/>
        </w:numPr>
      </w:pPr>
      <w:r>
        <w:t xml:space="preserve">Statement of Assurances </w:t>
      </w:r>
      <w:r w:rsidR="00F34CBF">
        <w:t>S</w:t>
      </w:r>
      <w:r>
        <w:t>ignature page</w:t>
      </w:r>
    </w:p>
    <w:p w14:paraId="2824D9EE" w14:textId="77777777" w:rsidR="00604486" w:rsidRDefault="00604486" w:rsidP="00604486">
      <w:pPr>
        <w:pStyle w:val="NoSpacing"/>
      </w:pPr>
    </w:p>
    <w:p w14:paraId="28C93975" w14:textId="0D2F9FC1" w:rsidR="00604486" w:rsidRDefault="00181635" w:rsidP="00604486">
      <w:pPr>
        <w:pStyle w:val="NoSpacing"/>
        <w:rPr>
          <w:b/>
        </w:rPr>
      </w:pPr>
      <w:r>
        <w:rPr>
          <w:b/>
        </w:rPr>
        <w:t xml:space="preserve">Additional </w:t>
      </w:r>
      <w:r w:rsidR="00DE21E7">
        <w:rPr>
          <w:b/>
        </w:rPr>
        <w:t xml:space="preserve">Program Sites (additional sites for programs </w:t>
      </w:r>
      <w:r w:rsidR="00D46C8B">
        <w:rPr>
          <w:b/>
        </w:rPr>
        <w:t xml:space="preserve">approved for </w:t>
      </w:r>
      <w:r>
        <w:rPr>
          <w:b/>
        </w:rPr>
        <w:t>f</w:t>
      </w:r>
      <w:r w:rsidR="00D46C8B">
        <w:rPr>
          <w:b/>
        </w:rPr>
        <w:t xml:space="preserve">unding in </w:t>
      </w:r>
      <w:r w:rsidR="00AB42BC">
        <w:rPr>
          <w:b/>
        </w:rPr>
        <w:t>FY 20</w:t>
      </w:r>
      <w:r w:rsidR="00D46C8B">
        <w:rPr>
          <w:b/>
        </w:rPr>
        <w:t>.</w:t>
      </w:r>
      <w:r w:rsidR="00DE21E7">
        <w:rPr>
          <w:b/>
        </w:rPr>
        <w:t>)</w:t>
      </w:r>
      <w:r w:rsidR="00AB42BC">
        <w:rPr>
          <w:b/>
        </w:rPr>
        <w:t xml:space="preserve"> </w:t>
      </w:r>
      <w:r w:rsidR="00604486">
        <w:rPr>
          <w:b/>
        </w:rPr>
        <w:t xml:space="preserve"> </w:t>
      </w:r>
    </w:p>
    <w:p w14:paraId="37BF5083" w14:textId="7868D31B" w:rsidR="00181635" w:rsidRDefault="00181635" w:rsidP="00D845BE">
      <w:pPr>
        <w:pStyle w:val="NoSpacing"/>
        <w:numPr>
          <w:ilvl w:val="0"/>
          <w:numId w:val="30"/>
        </w:numPr>
      </w:pPr>
      <w:r>
        <w:t>Currently funded programs may request approval of additional program sites through the FY 21 School Readiness Continuation Funding Application process.</w:t>
      </w:r>
    </w:p>
    <w:p w14:paraId="4AAE079C" w14:textId="2D913C34" w:rsidR="007E0DD6" w:rsidRDefault="00D845BE" w:rsidP="00D845BE">
      <w:pPr>
        <w:pStyle w:val="NoSpacing"/>
        <w:numPr>
          <w:ilvl w:val="0"/>
          <w:numId w:val="30"/>
        </w:numPr>
      </w:pPr>
      <w:r>
        <w:t xml:space="preserve">Programs </w:t>
      </w:r>
      <w:r w:rsidR="00DE21E7">
        <w:t xml:space="preserve">requesting </w:t>
      </w:r>
      <w:r w:rsidR="007C6BB0">
        <w:t xml:space="preserve">additional sites </w:t>
      </w:r>
      <w:r w:rsidR="00181635">
        <w:t xml:space="preserve">in FY 21 </w:t>
      </w:r>
      <w:r>
        <w:t xml:space="preserve">shall </w:t>
      </w:r>
      <w:r w:rsidR="002457BE">
        <w:t xml:space="preserve">allocate </w:t>
      </w:r>
      <w:r w:rsidR="00AB42BC">
        <w:t xml:space="preserve">spaces and funding within their allocation.  </w:t>
      </w:r>
    </w:p>
    <w:p w14:paraId="1166B7CD" w14:textId="02DE85A1" w:rsidR="007E0DD6" w:rsidRDefault="007E0DD6" w:rsidP="00D845BE">
      <w:pPr>
        <w:pStyle w:val="NoSpacing"/>
        <w:numPr>
          <w:ilvl w:val="0"/>
          <w:numId w:val="30"/>
        </w:numPr>
      </w:pPr>
      <w:r>
        <w:t>Councils may elect to increase funding allocation</w:t>
      </w:r>
      <w:r w:rsidR="007C6BB0">
        <w:t>s</w:t>
      </w:r>
      <w:r>
        <w:t xml:space="preserve"> </w:t>
      </w:r>
      <w:r w:rsidR="00D46C8B">
        <w:t>for</w:t>
      </w:r>
      <w:r w:rsidR="00181635">
        <w:t xml:space="preserve"> programs requesting</w:t>
      </w:r>
      <w:r w:rsidR="00D46C8B">
        <w:t xml:space="preserve"> </w:t>
      </w:r>
      <w:r w:rsidR="002457BE">
        <w:t xml:space="preserve">additional </w:t>
      </w:r>
      <w:r>
        <w:t xml:space="preserve">sites </w:t>
      </w:r>
      <w:r w:rsidR="00E60B54">
        <w:t>wi</w:t>
      </w:r>
      <w:r w:rsidR="007C6BB0">
        <w:t>thin the maximum community allocation.</w:t>
      </w:r>
    </w:p>
    <w:p w14:paraId="2CA5FBEE" w14:textId="56658BBE" w:rsidR="007E0DD6" w:rsidRDefault="007C6BB0" w:rsidP="00D845BE">
      <w:pPr>
        <w:pStyle w:val="NoSpacing"/>
        <w:numPr>
          <w:ilvl w:val="0"/>
          <w:numId w:val="30"/>
        </w:numPr>
      </w:pPr>
      <w:r>
        <w:t>New p</w:t>
      </w:r>
      <w:r w:rsidR="007E0DD6">
        <w:t>rogr</w:t>
      </w:r>
      <w:r>
        <w:t xml:space="preserve">am sites recommended by the Council must be represented in </w:t>
      </w:r>
      <w:r w:rsidR="00D46C8B">
        <w:t>all required documents in the Community RFP.</w:t>
      </w:r>
    </w:p>
    <w:p w14:paraId="378F2069" w14:textId="44B04A69" w:rsidR="00DE21E7" w:rsidRDefault="00DE21E7" w:rsidP="00D845BE">
      <w:pPr>
        <w:pStyle w:val="NoSpacing"/>
        <w:numPr>
          <w:ilvl w:val="0"/>
          <w:numId w:val="30"/>
        </w:numPr>
      </w:pPr>
      <w:r>
        <w:lastRenderedPageBreak/>
        <w:t>Councils shall ensure that a</w:t>
      </w:r>
      <w:r w:rsidR="007C6BB0">
        <w:t xml:space="preserve">dditional </w:t>
      </w:r>
      <w:r w:rsidR="007E0DD6">
        <w:t xml:space="preserve">sites </w:t>
      </w:r>
      <w:r>
        <w:t>de</w:t>
      </w:r>
      <w:r w:rsidR="007C6BB0">
        <w:t>monst</w:t>
      </w:r>
      <w:r w:rsidR="00D46C8B">
        <w:t>r</w:t>
      </w:r>
      <w:r w:rsidR="007C6BB0">
        <w:t xml:space="preserve">ate compliance with </w:t>
      </w:r>
      <w:r w:rsidR="007E0DD6">
        <w:t>School Readiness requirements</w:t>
      </w:r>
      <w:r>
        <w:t xml:space="preserve"> prior to allocating spaces and funds to those sites.</w:t>
      </w:r>
      <w:r w:rsidR="00D46C8B">
        <w:t xml:space="preserve"> </w:t>
      </w:r>
    </w:p>
    <w:p w14:paraId="7F7F3C0A" w14:textId="4DF77D60" w:rsidR="00DE21E7" w:rsidRDefault="00DE21E7" w:rsidP="00DE21E7">
      <w:pPr>
        <w:pStyle w:val="NoSpacing"/>
        <w:numPr>
          <w:ilvl w:val="0"/>
          <w:numId w:val="30"/>
        </w:numPr>
      </w:pPr>
      <w:r>
        <w:t xml:space="preserve">OEC approval is required prior to </w:t>
      </w:r>
      <w:r w:rsidR="00722ECD">
        <w:t xml:space="preserve">the allocation and utilization of </w:t>
      </w:r>
      <w:r>
        <w:t xml:space="preserve">school readiness funded </w:t>
      </w:r>
    </w:p>
    <w:p w14:paraId="2A91A484" w14:textId="7F629231" w:rsidR="00722ECD" w:rsidRDefault="00722ECD" w:rsidP="00722ECD">
      <w:pPr>
        <w:pStyle w:val="NoSpacing"/>
        <w:ind w:left="720"/>
      </w:pPr>
      <w:r>
        <w:t>spaces at any site.</w:t>
      </w:r>
    </w:p>
    <w:p w14:paraId="0AE91A0E" w14:textId="4D1E8C21" w:rsidR="00D46C8B" w:rsidRDefault="00D46C8B" w:rsidP="00D845BE">
      <w:pPr>
        <w:pStyle w:val="NoSpacing"/>
        <w:numPr>
          <w:ilvl w:val="0"/>
          <w:numId w:val="30"/>
        </w:numPr>
      </w:pPr>
      <w:r>
        <w:t xml:space="preserve">FY 20 School Readiness program sites that plan to or will relocate in FY21 are not considered “additional program” sites.  These are existing sites </w:t>
      </w:r>
      <w:r w:rsidR="00722ECD">
        <w:t xml:space="preserve">changing </w:t>
      </w:r>
      <w:r w:rsidR="006D771C">
        <w:t>location</w:t>
      </w:r>
      <w:r w:rsidR="00722ECD">
        <w:t xml:space="preserve"> and a separate approval is required.</w:t>
      </w:r>
    </w:p>
    <w:p w14:paraId="33CBBDE5" w14:textId="77777777" w:rsidR="00E60B54" w:rsidRDefault="00E60B54" w:rsidP="00E60B54">
      <w:pPr>
        <w:pStyle w:val="NoSpacing"/>
        <w:ind w:left="360"/>
      </w:pPr>
    </w:p>
    <w:p w14:paraId="56B28B5E" w14:textId="7A4B28D8" w:rsidR="00722ECD" w:rsidRDefault="00A668BD" w:rsidP="00E60B54">
      <w:pPr>
        <w:pStyle w:val="NoSpacing"/>
        <w:ind w:left="360"/>
      </w:pPr>
      <w:r>
        <w:t xml:space="preserve">Councils </w:t>
      </w:r>
      <w:r w:rsidR="004E317A">
        <w:t xml:space="preserve">may request approval </w:t>
      </w:r>
      <w:r w:rsidR="00E60B54">
        <w:t>of</w:t>
      </w:r>
      <w:r w:rsidR="004E317A">
        <w:t xml:space="preserve"> additional sites for funded programs at any time during FY 21 </w:t>
      </w:r>
      <w:r w:rsidR="00E60B54">
        <w:t xml:space="preserve">outside of the </w:t>
      </w:r>
      <w:r w:rsidR="004E317A">
        <w:t>Community RFP process. These requests shall be submitted to the School Readiness Program Manager</w:t>
      </w:r>
      <w:r w:rsidR="00E60B54">
        <w:t>.</w:t>
      </w:r>
    </w:p>
    <w:p w14:paraId="0A6F993E" w14:textId="6753E7CF" w:rsidR="00722ECD" w:rsidRDefault="00722ECD" w:rsidP="00722ECD">
      <w:pPr>
        <w:pStyle w:val="NoSpacing"/>
        <w:numPr>
          <w:ilvl w:val="1"/>
          <w:numId w:val="30"/>
        </w:numPr>
      </w:pPr>
      <w:r>
        <w:t xml:space="preserve">Programs </w:t>
      </w:r>
      <w:r w:rsidR="00E60B54">
        <w:t xml:space="preserve">requesting funding for additional sites </w:t>
      </w:r>
      <w:r>
        <w:t>shall submit the following documents to the Council</w:t>
      </w:r>
      <w:r w:rsidR="00E60B54">
        <w:t>:</w:t>
      </w:r>
    </w:p>
    <w:p w14:paraId="52A87FFD" w14:textId="16492422" w:rsidR="00722ECD" w:rsidRDefault="00722ECD" w:rsidP="00722ECD">
      <w:pPr>
        <w:pStyle w:val="NoSpacing"/>
        <w:numPr>
          <w:ilvl w:val="2"/>
          <w:numId w:val="30"/>
        </w:numPr>
      </w:pPr>
      <w:r>
        <w:t>Program Space and Funding Request (within the Program maximum allocation)</w:t>
      </w:r>
    </w:p>
    <w:p w14:paraId="0EFBF359" w14:textId="5A90D865" w:rsidR="00722ECD" w:rsidRDefault="00722ECD" w:rsidP="00722ECD">
      <w:pPr>
        <w:pStyle w:val="NoSpacing"/>
        <w:numPr>
          <w:ilvl w:val="2"/>
          <w:numId w:val="30"/>
        </w:numPr>
      </w:pPr>
      <w:r>
        <w:t>Program Data Grid</w:t>
      </w:r>
    </w:p>
    <w:p w14:paraId="01CA7C41" w14:textId="65C445AA" w:rsidR="00731F9C" w:rsidRDefault="00731F9C" w:rsidP="00722ECD">
      <w:pPr>
        <w:pStyle w:val="NoSpacing"/>
        <w:numPr>
          <w:ilvl w:val="2"/>
          <w:numId w:val="30"/>
        </w:numPr>
      </w:pPr>
      <w:r>
        <w:t>Updated Local Program Budget Workbook</w:t>
      </w:r>
    </w:p>
    <w:p w14:paraId="72D9BE4F" w14:textId="20FA1FC9" w:rsidR="00E60B54" w:rsidRDefault="00E60B54" w:rsidP="00200282">
      <w:pPr>
        <w:pStyle w:val="NoSpacing"/>
        <w:numPr>
          <w:ilvl w:val="3"/>
          <w:numId w:val="30"/>
        </w:numPr>
      </w:pPr>
      <w:r>
        <w:t>These documents will be maintained at the local level.</w:t>
      </w:r>
    </w:p>
    <w:p w14:paraId="444248CA" w14:textId="19837602" w:rsidR="00731F9C" w:rsidRDefault="00731F9C" w:rsidP="00731F9C">
      <w:pPr>
        <w:pStyle w:val="NoSpacing"/>
        <w:numPr>
          <w:ilvl w:val="0"/>
          <w:numId w:val="41"/>
        </w:numPr>
      </w:pPr>
      <w:r>
        <w:t xml:space="preserve">Upon </w:t>
      </w:r>
      <w:r w:rsidR="00E60B54">
        <w:t xml:space="preserve">Council </w:t>
      </w:r>
      <w:r>
        <w:t xml:space="preserve">approval </w:t>
      </w:r>
      <w:r w:rsidR="00E60B54">
        <w:t xml:space="preserve">of the program’s request for an additional site, the </w:t>
      </w:r>
      <w:r>
        <w:t xml:space="preserve">following shall </w:t>
      </w:r>
      <w:r w:rsidR="00181635">
        <w:t xml:space="preserve">be </w:t>
      </w:r>
      <w:r>
        <w:t>submitted to the School Readiness Program Manager:</w:t>
      </w:r>
    </w:p>
    <w:p w14:paraId="1A996D6B" w14:textId="77777777" w:rsidR="00722ECD" w:rsidRDefault="00722ECD" w:rsidP="00731F9C">
      <w:pPr>
        <w:pStyle w:val="NoSpacing"/>
        <w:numPr>
          <w:ilvl w:val="2"/>
          <w:numId w:val="30"/>
        </w:numPr>
      </w:pPr>
      <w:r>
        <w:t xml:space="preserve">Report of Change Form </w:t>
      </w:r>
    </w:p>
    <w:p w14:paraId="0B076B4E" w14:textId="34FC3559" w:rsidR="00722ECD" w:rsidRDefault="00722ECD" w:rsidP="00731F9C">
      <w:pPr>
        <w:pStyle w:val="NoSpacing"/>
        <w:numPr>
          <w:ilvl w:val="2"/>
          <w:numId w:val="30"/>
        </w:numPr>
      </w:pPr>
      <w:r>
        <w:t>Community Program Data Grid</w:t>
      </w:r>
    </w:p>
    <w:p w14:paraId="02E6435A" w14:textId="45D866CD" w:rsidR="00722ECD" w:rsidRDefault="00722ECD" w:rsidP="00731F9C">
      <w:pPr>
        <w:pStyle w:val="NoSpacing"/>
        <w:numPr>
          <w:ilvl w:val="2"/>
          <w:numId w:val="30"/>
        </w:numPr>
      </w:pPr>
      <w:r>
        <w:t>Community Space and Funding Grid</w:t>
      </w:r>
    </w:p>
    <w:p w14:paraId="3CFC9453" w14:textId="21CA9A2B" w:rsidR="00722ECD" w:rsidRDefault="004E317A" w:rsidP="00E60B54">
      <w:pPr>
        <w:pStyle w:val="NoSpacing"/>
        <w:numPr>
          <w:ilvl w:val="3"/>
          <w:numId w:val="30"/>
        </w:numPr>
      </w:pPr>
      <w:r>
        <w:t xml:space="preserve">Councils shall ensure sites demonstrate compliance with </w:t>
      </w:r>
      <w:r w:rsidR="00E60B54">
        <w:t>School Readiness</w:t>
      </w:r>
      <w:r>
        <w:t xml:space="preserve"> requirements prior to the allocation of spaces and funding</w:t>
      </w:r>
      <w:r w:rsidR="00E60B54">
        <w:t xml:space="preserve"> to new sites</w:t>
      </w:r>
      <w:r>
        <w:t xml:space="preserve">. </w:t>
      </w:r>
    </w:p>
    <w:p w14:paraId="65C6DD55" w14:textId="4D6A7DC1" w:rsidR="00722ECD" w:rsidRDefault="00722ECD" w:rsidP="00E60B54">
      <w:pPr>
        <w:pStyle w:val="NoSpacing"/>
        <w:numPr>
          <w:ilvl w:val="3"/>
          <w:numId w:val="30"/>
        </w:numPr>
      </w:pPr>
      <w:r>
        <w:t xml:space="preserve">OEC approval is required prior to the allocation and utilization of school readiness funded spaces at </w:t>
      </w:r>
      <w:r w:rsidR="00731F9C">
        <w:t xml:space="preserve">all </w:t>
      </w:r>
      <w:r>
        <w:t>site</w:t>
      </w:r>
      <w:r w:rsidR="00731F9C">
        <w:t>s</w:t>
      </w:r>
      <w:r>
        <w:t>.</w:t>
      </w:r>
    </w:p>
    <w:p w14:paraId="14F6E48D" w14:textId="77777777" w:rsidR="00983734" w:rsidRDefault="00983734" w:rsidP="00DB294B">
      <w:pPr>
        <w:pStyle w:val="NoSpacing"/>
        <w:rPr>
          <w:b/>
        </w:rPr>
      </w:pPr>
    </w:p>
    <w:p w14:paraId="04398DFF" w14:textId="04C2505A" w:rsidR="00731F9C" w:rsidRDefault="00477C26" w:rsidP="00DB294B">
      <w:pPr>
        <w:pStyle w:val="NoSpacing"/>
        <w:rPr>
          <w:b/>
        </w:rPr>
      </w:pPr>
      <w:r>
        <w:rPr>
          <w:b/>
        </w:rPr>
        <w:t xml:space="preserve">New </w:t>
      </w:r>
      <w:r w:rsidR="00DB294B" w:rsidRPr="00477C26">
        <w:rPr>
          <w:b/>
        </w:rPr>
        <w:t>Program</w:t>
      </w:r>
      <w:r w:rsidR="00604486">
        <w:rPr>
          <w:b/>
        </w:rPr>
        <w:t xml:space="preserve"> </w:t>
      </w:r>
      <w:r w:rsidR="006D771C">
        <w:rPr>
          <w:b/>
        </w:rPr>
        <w:t>Applications</w:t>
      </w:r>
      <w:r w:rsidR="00181635">
        <w:rPr>
          <w:b/>
        </w:rPr>
        <w:t xml:space="preserve"> (p</w:t>
      </w:r>
      <w:r w:rsidR="00731F9C">
        <w:rPr>
          <w:b/>
        </w:rPr>
        <w:t>rograms not approved for funding in FY 20)</w:t>
      </w:r>
    </w:p>
    <w:p w14:paraId="512909A6" w14:textId="341C5230" w:rsidR="00731F9C" w:rsidRDefault="00E60B54" w:rsidP="00731F9C">
      <w:pPr>
        <w:pStyle w:val="NoSpacing"/>
      </w:pPr>
      <w:r>
        <w:t xml:space="preserve">In addition to being accepted during the FY 21 Community RFP process for September 2020 to June 2021, </w:t>
      </w:r>
      <w:r w:rsidR="006D771C">
        <w:t xml:space="preserve">Local RFPs </w:t>
      </w:r>
      <w:r w:rsidR="00731F9C">
        <w:t xml:space="preserve">to fund new programs </w:t>
      </w:r>
      <w:r w:rsidR="006D771C">
        <w:t xml:space="preserve">will be accepted throughout </w:t>
      </w:r>
      <w:r w:rsidR="007E0DD6">
        <w:t>FY 21</w:t>
      </w:r>
      <w:r w:rsidR="006D771C">
        <w:t xml:space="preserve"> to meet the changing needs of </w:t>
      </w:r>
      <w:r w:rsidR="00731F9C">
        <w:t xml:space="preserve">families and </w:t>
      </w:r>
      <w:r w:rsidR="006D771C">
        <w:t>communities</w:t>
      </w:r>
      <w:r w:rsidR="00731F9C">
        <w:t>.</w:t>
      </w:r>
      <w:r w:rsidR="00522A6B">
        <w:t xml:space="preserve">  </w:t>
      </w:r>
      <w:r w:rsidR="00731F9C" w:rsidRPr="00522A6B">
        <w:t xml:space="preserve">The </w:t>
      </w:r>
      <w:r w:rsidR="00522A6B">
        <w:t xml:space="preserve">Local </w:t>
      </w:r>
      <w:r w:rsidR="00731F9C" w:rsidRPr="00522A6B">
        <w:t xml:space="preserve">RFP process must be </w:t>
      </w:r>
      <w:r w:rsidR="00522A6B">
        <w:t xml:space="preserve">implemented </w:t>
      </w:r>
      <w:r w:rsidR="00731F9C" w:rsidRPr="00522A6B">
        <w:t xml:space="preserve">for </w:t>
      </w:r>
      <w:r w:rsidR="0074550B">
        <w:t xml:space="preserve">all </w:t>
      </w:r>
      <w:r w:rsidR="00731F9C" w:rsidRPr="00522A6B">
        <w:t xml:space="preserve">new programs </w:t>
      </w:r>
      <w:r w:rsidR="0074550B">
        <w:t>applying for School Readiness funding. This process includes:</w:t>
      </w:r>
    </w:p>
    <w:p w14:paraId="7C54C093" w14:textId="07143818" w:rsidR="00522A6B" w:rsidRDefault="0074550B" w:rsidP="00522A6B">
      <w:pPr>
        <w:pStyle w:val="NoSpacing"/>
        <w:numPr>
          <w:ilvl w:val="0"/>
          <w:numId w:val="41"/>
        </w:numPr>
      </w:pPr>
      <w:r>
        <w:t>I</w:t>
      </w:r>
      <w:r w:rsidR="00522A6B">
        <w:t>ssuance of a public notice</w:t>
      </w:r>
      <w:r w:rsidR="00FB171D">
        <w:t xml:space="preserve"> to identify non-currently funded eligible local pro</w:t>
      </w:r>
      <w:r>
        <w:t>grams</w:t>
      </w:r>
    </w:p>
    <w:p w14:paraId="73C03F92" w14:textId="34E5C8CE" w:rsidR="00181635" w:rsidRDefault="00FB171D" w:rsidP="00522A6B">
      <w:pPr>
        <w:pStyle w:val="NoSpacing"/>
        <w:numPr>
          <w:ilvl w:val="0"/>
          <w:numId w:val="41"/>
        </w:numPr>
      </w:pPr>
      <w:r>
        <w:t xml:space="preserve">Submission of </w:t>
      </w:r>
      <w:r w:rsidR="00181635">
        <w:t xml:space="preserve">the full </w:t>
      </w:r>
      <w:r>
        <w:t>Local RFP</w:t>
      </w:r>
      <w:r w:rsidR="00181635">
        <w:t xml:space="preserve"> </w:t>
      </w:r>
      <w:r>
        <w:t xml:space="preserve">to the Council </w:t>
      </w:r>
      <w:r w:rsidR="0074550B">
        <w:t>by program applicants</w:t>
      </w:r>
    </w:p>
    <w:p w14:paraId="154762DA" w14:textId="699B8CB9" w:rsidR="00FB171D" w:rsidRDefault="00181635" w:rsidP="00522A6B">
      <w:pPr>
        <w:pStyle w:val="NoSpacing"/>
        <w:numPr>
          <w:ilvl w:val="0"/>
          <w:numId w:val="41"/>
        </w:numPr>
      </w:pPr>
      <w:r>
        <w:t xml:space="preserve">Council </w:t>
      </w:r>
      <w:r w:rsidR="00FB171D">
        <w:t>review and scoring</w:t>
      </w:r>
      <w:r>
        <w:t xml:space="preserve"> of </w:t>
      </w:r>
      <w:r w:rsidR="0074550B">
        <w:t xml:space="preserve">the </w:t>
      </w:r>
      <w:r>
        <w:t xml:space="preserve">RFPs </w:t>
      </w:r>
    </w:p>
    <w:p w14:paraId="254C26BC" w14:textId="341A7E3B" w:rsidR="00FB171D" w:rsidRDefault="00FB171D" w:rsidP="00522A6B">
      <w:pPr>
        <w:pStyle w:val="NoSpacing"/>
        <w:numPr>
          <w:ilvl w:val="0"/>
          <w:numId w:val="41"/>
        </w:numPr>
      </w:pPr>
      <w:r>
        <w:t>Councils ensur</w:t>
      </w:r>
      <w:r w:rsidR="0074550B">
        <w:t>ing</w:t>
      </w:r>
      <w:r>
        <w:t xml:space="preserve"> only proposals that are complete and specify how the program will address and meet all statutory requirements are given consideration</w:t>
      </w:r>
    </w:p>
    <w:p w14:paraId="7562BB44" w14:textId="6E0D2466" w:rsidR="00181635" w:rsidRPr="00522A6B" w:rsidRDefault="00181635" w:rsidP="00181635">
      <w:pPr>
        <w:pStyle w:val="NoSpacing"/>
        <w:numPr>
          <w:ilvl w:val="1"/>
          <w:numId w:val="41"/>
        </w:numPr>
      </w:pPr>
      <w:r>
        <w:t>Council submission of the following to OEC for approval:</w:t>
      </w:r>
    </w:p>
    <w:p w14:paraId="43338C4A" w14:textId="2D51C905" w:rsidR="00A52FED" w:rsidRDefault="00A52FED" w:rsidP="00181635">
      <w:pPr>
        <w:pStyle w:val="NoSpacing"/>
        <w:numPr>
          <w:ilvl w:val="3"/>
          <w:numId w:val="4"/>
        </w:numPr>
      </w:pPr>
      <w:r>
        <w:t>Copy of the p</w:t>
      </w:r>
      <w:r w:rsidRPr="00462D0E">
        <w:t>ublic notice</w:t>
      </w:r>
      <w:r>
        <w:t xml:space="preserve"> issued by the Council</w:t>
      </w:r>
      <w:r w:rsidR="00A668BD">
        <w:t xml:space="preserve"> (required each time new applications are solicited)</w:t>
      </w:r>
    </w:p>
    <w:p w14:paraId="3599A04E" w14:textId="5F396C90" w:rsidR="00181635" w:rsidRDefault="00181635" w:rsidP="00181635">
      <w:pPr>
        <w:pStyle w:val="NoSpacing"/>
        <w:numPr>
          <w:ilvl w:val="3"/>
          <w:numId w:val="4"/>
        </w:numPr>
      </w:pPr>
      <w:r>
        <w:t>Copy of each Local RFP submitted</w:t>
      </w:r>
    </w:p>
    <w:p w14:paraId="22BAA58D" w14:textId="58794EEF" w:rsidR="00462D0E" w:rsidRDefault="00A52FED" w:rsidP="00181635">
      <w:pPr>
        <w:pStyle w:val="NoSpacing"/>
        <w:numPr>
          <w:ilvl w:val="3"/>
          <w:numId w:val="4"/>
        </w:numPr>
      </w:pPr>
      <w:r>
        <w:t>Local RFP Scoring Summary Sheet</w:t>
      </w:r>
      <w:r w:rsidR="0074550B">
        <w:t xml:space="preserve"> and Council recommendations for funding</w:t>
      </w:r>
    </w:p>
    <w:p w14:paraId="39A9A672" w14:textId="5EC92BCD" w:rsidR="00A668BD" w:rsidRDefault="00A668BD" w:rsidP="00181635">
      <w:pPr>
        <w:pStyle w:val="NoSpacing"/>
        <w:numPr>
          <w:ilvl w:val="3"/>
          <w:numId w:val="4"/>
        </w:numPr>
      </w:pPr>
      <w:r>
        <w:t>Updated Community Program Data Grid</w:t>
      </w:r>
    </w:p>
    <w:p w14:paraId="66A24E4F" w14:textId="1E57E751" w:rsidR="00A668BD" w:rsidRPr="00462D0E" w:rsidRDefault="00A668BD" w:rsidP="00181635">
      <w:pPr>
        <w:pStyle w:val="NoSpacing"/>
        <w:numPr>
          <w:ilvl w:val="3"/>
          <w:numId w:val="4"/>
        </w:numPr>
      </w:pPr>
      <w:r>
        <w:t>Community Space and Funding Grid</w:t>
      </w:r>
    </w:p>
    <w:p w14:paraId="1FE9F9F4" w14:textId="1163D52C" w:rsidR="0074550B" w:rsidRDefault="0074550B" w:rsidP="0074550B">
      <w:pPr>
        <w:pStyle w:val="NoSpacing"/>
        <w:numPr>
          <w:ilvl w:val="1"/>
          <w:numId w:val="4"/>
        </w:numPr>
      </w:pPr>
      <w:r>
        <w:t xml:space="preserve">Programs shall be allocated spaces and funding within community maximum allocations. </w:t>
      </w:r>
    </w:p>
    <w:p w14:paraId="6EE4169E" w14:textId="7108FA15" w:rsidR="006C170B" w:rsidRDefault="000340B1" w:rsidP="006C170B">
      <w:pPr>
        <w:pStyle w:val="NoSpacing"/>
        <w:rPr>
          <w:b/>
          <w:u w:val="single"/>
        </w:rPr>
      </w:pPr>
      <w:r>
        <w:rPr>
          <w:b/>
          <w:u w:val="single"/>
        </w:rPr>
        <w:t xml:space="preserve">FUNDING </w:t>
      </w:r>
      <w:r w:rsidR="006C170B">
        <w:rPr>
          <w:b/>
          <w:u w:val="single"/>
        </w:rPr>
        <w:t>ALLOCATIONS</w:t>
      </w:r>
    </w:p>
    <w:p w14:paraId="3F449A71" w14:textId="77777777" w:rsidR="002F4AC0" w:rsidRDefault="002F4AC0" w:rsidP="006C170B">
      <w:pPr>
        <w:pStyle w:val="NoSpacing"/>
        <w:rPr>
          <w:b/>
          <w:u w:val="single"/>
        </w:rPr>
      </w:pPr>
    </w:p>
    <w:p w14:paraId="45E5C262" w14:textId="77777777" w:rsidR="0025127A" w:rsidRPr="006D771C" w:rsidRDefault="0025127A" w:rsidP="00322E4C">
      <w:pPr>
        <w:pStyle w:val="NoSpacing"/>
        <w:numPr>
          <w:ilvl w:val="0"/>
          <w:numId w:val="5"/>
        </w:numPr>
        <w:rPr>
          <w:b/>
        </w:rPr>
      </w:pPr>
      <w:r>
        <w:t>Community monthly allocations are based on March 2020 space grid</w:t>
      </w:r>
      <w:r w:rsidR="000340B1">
        <w:t>s.</w:t>
      </w:r>
    </w:p>
    <w:p w14:paraId="1A5F0192" w14:textId="069580C9" w:rsidR="006D771C" w:rsidRDefault="006D771C" w:rsidP="006D771C">
      <w:pPr>
        <w:pStyle w:val="NoSpacing"/>
        <w:numPr>
          <w:ilvl w:val="0"/>
          <w:numId w:val="5"/>
        </w:numPr>
      </w:pPr>
      <w:r>
        <w:t xml:space="preserve">OEC does not anticipate additional funding to be available for </w:t>
      </w:r>
      <w:r w:rsidR="0074550B">
        <w:t>FY 21.</w:t>
      </w:r>
    </w:p>
    <w:p w14:paraId="49CBFAF5" w14:textId="77777777" w:rsidR="006D771C" w:rsidRPr="006D771C" w:rsidRDefault="006D771C" w:rsidP="003311BE">
      <w:pPr>
        <w:pStyle w:val="NoSpacing"/>
        <w:numPr>
          <w:ilvl w:val="0"/>
          <w:numId w:val="5"/>
        </w:numPr>
        <w:rPr>
          <w:b/>
        </w:rPr>
      </w:pPr>
      <w:r>
        <w:t>Communities recommending funding of new programs and additional program sites must do so within their maximum allowable allocation.</w:t>
      </w:r>
    </w:p>
    <w:p w14:paraId="31675655" w14:textId="77777777" w:rsidR="0025127A" w:rsidRDefault="00B22CF2" w:rsidP="00203E35">
      <w:pPr>
        <w:pStyle w:val="NoSpacing"/>
        <w:numPr>
          <w:ilvl w:val="0"/>
          <w:numId w:val="5"/>
        </w:numPr>
      </w:pPr>
      <w:r>
        <w:t>S</w:t>
      </w:r>
      <w:r w:rsidR="006D771C">
        <w:t>pace conversions</w:t>
      </w:r>
      <w:r>
        <w:t xml:space="preserve"> will not reduce </w:t>
      </w:r>
      <w:r w:rsidR="006D771C">
        <w:t>c</w:t>
      </w:r>
      <w:r w:rsidR="002F4AC0" w:rsidRPr="0025127A">
        <w:t>ommunity funding allocations</w:t>
      </w:r>
      <w:r>
        <w:t>. Community allocations</w:t>
      </w:r>
      <w:r w:rsidR="002F4AC0" w:rsidRPr="0025127A">
        <w:t xml:space="preserve"> </w:t>
      </w:r>
      <w:r w:rsidR="000340B1">
        <w:t xml:space="preserve">shall </w:t>
      </w:r>
      <w:r>
        <w:t>remain consistent</w:t>
      </w:r>
      <w:r w:rsidR="002F4AC0" w:rsidRPr="0025127A">
        <w:t xml:space="preserve"> </w:t>
      </w:r>
      <w:r>
        <w:t>for September 2020 through June 2021</w:t>
      </w:r>
      <w:r w:rsidR="00604486">
        <w:t xml:space="preserve"> to provide </w:t>
      </w:r>
      <w:r w:rsidR="000340B1">
        <w:t xml:space="preserve">communities </w:t>
      </w:r>
      <w:r w:rsidRPr="0025127A">
        <w:t>with</w:t>
      </w:r>
      <w:r>
        <w:t xml:space="preserve"> </w:t>
      </w:r>
      <w:r w:rsidRPr="0025127A">
        <w:t>flexibility</w:t>
      </w:r>
      <w:r w:rsidR="0025127A" w:rsidRPr="0025127A">
        <w:t xml:space="preserve"> to respond to </w:t>
      </w:r>
      <w:r w:rsidR="00604486">
        <w:t xml:space="preserve">the changing needs of families </w:t>
      </w:r>
      <w:r w:rsidR="0025127A" w:rsidRPr="0025127A">
        <w:t>and the community</w:t>
      </w:r>
      <w:r>
        <w:t>.</w:t>
      </w:r>
      <w:r w:rsidR="0025127A" w:rsidRPr="0025127A">
        <w:t xml:space="preserve"> </w:t>
      </w:r>
    </w:p>
    <w:p w14:paraId="7B338CB9" w14:textId="38DF3F43" w:rsidR="000340B1" w:rsidRDefault="00EE5B38" w:rsidP="00EC6CDB">
      <w:pPr>
        <w:pStyle w:val="NoSpacing"/>
        <w:numPr>
          <w:ilvl w:val="0"/>
          <w:numId w:val="34"/>
        </w:numPr>
      </w:pPr>
      <w:r>
        <w:t xml:space="preserve">Councils shall maintain consistent allocations </w:t>
      </w:r>
      <w:r w:rsidR="00F40BD3">
        <w:t xml:space="preserve">to </w:t>
      </w:r>
      <w:r w:rsidR="00637530">
        <w:t xml:space="preserve">allow </w:t>
      </w:r>
      <w:r w:rsidR="00F40BD3">
        <w:t xml:space="preserve">programs to meet the changing needs of the families </w:t>
      </w:r>
      <w:r>
        <w:t>and children enrolled.</w:t>
      </w:r>
    </w:p>
    <w:p w14:paraId="03AA97F6" w14:textId="678ABB6A" w:rsidR="0025127A" w:rsidRDefault="0025127A" w:rsidP="00435A53">
      <w:pPr>
        <w:pStyle w:val="NoSpacing"/>
        <w:numPr>
          <w:ilvl w:val="0"/>
          <w:numId w:val="5"/>
        </w:numPr>
      </w:pPr>
      <w:r>
        <w:t xml:space="preserve"> </w:t>
      </w:r>
      <w:r w:rsidR="00B13294">
        <w:t>Community space and funding a</w:t>
      </w:r>
      <w:r w:rsidR="00604486">
        <w:t xml:space="preserve">llocations may be adjusted </w:t>
      </w:r>
      <w:r w:rsidR="00B13294">
        <w:t xml:space="preserve">by OEC </w:t>
      </w:r>
      <w:r w:rsidR="00637530">
        <w:t>as follows</w:t>
      </w:r>
      <w:r w:rsidR="00604486">
        <w:t>:</w:t>
      </w:r>
    </w:p>
    <w:p w14:paraId="42946A7F" w14:textId="77777777" w:rsidR="00B13294" w:rsidRDefault="00B22CF2" w:rsidP="00471C61">
      <w:pPr>
        <w:pStyle w:val="NoSpacing"/>
        <w:numPr>
          <w:ilvl w:val="1"/>
          <w:numId w:val="5"/>
        </w:numPr>
      </w:pPr>
      <w:r>
        <w:t>Only i</w:t>
      </w:r>
      <w:r w:rsidR="0025127A" w:rsidRPr="0025127A">
        <w:t>n cases of significant chronic</w:t>
      </w:r>
      <w:r w:rsidR="0025127A">
        <w:t xml:space="preserve"> un-utilized spaces,</w:t>
      </w:r>
      <w:r>
        <w:t xml:space="preserve"> may the OEC consider shifting spaces</w:t>
      </w:r>
      <w:r w:rsidR="000340B1">
        <w:t xml:space="preserve"> and funding</w:t>
      </w:r>
      <w:r w:rsidR="0025127A">
        <w:t xml:space="preserve"> </w:t>
      </w:r>
      <w:r>
        <w:t xml:space="preserve">from a </w:t>
      </w:r>
      <w:r w:rsidR="0025127A" w:rsidRPr="0025127A">
        <w:t>communit</w:t>
      </w:r>
      <w:r>
        <w:t>y</w:t>
      </w:r>
      <w:r w:rsidR="0025127A" w:rsidRPr="0025127A">
        <w:t xml:space="preserve"> </w:t>
      </w:r>
      <w:r>
        <w:t xml:space="preserve">should another community </w:t>
      </w:r>
      <w:r w:rsidR="0025127A" w:rsidRPr="0025127A">
        <w:t xml:space="preserve">demonstrate a significant need and </w:t>
      </w:r>
      <w:r>
        <w:t>the</w:t>
      </w:r>
      <w:r w:rsidR="0025127A" w:rsidRPr="0025127A">
        <w:t xml:space="preserve"> capacity to provide services</w:t>
      </w:r>
      <w:r w:rsidR="0025127A">
        <w:t xml:space="preserve"> using these spaces</w:t>
      </w:r>
      <w:r w:rsidR="0025127A" w:rsidRPr="0025127A">
        <w:t>.</w:t>
      </w:r>
      <w:r w:rsidR="000340B1">
        <w:t xml:space="preserve"> </w:t>
      </w:r>
    </w:p>
    <w:p w14:paraId="52C65178" w14:textId="77777777" w:rsidR="00B22CF2" w:rsidRDefault="00B22CF2" w:rsidP="00471C61">
      <w:pPr>
        <w:pStyle w:val="NoSpacing"/>
        <w:numPr>
          <w:ilvl w:val="1"/>
          <w:numId w:val="5"/>
        </w:numPr>
      </w:pPr>
      <w:r>
        <w:t>Decisions regarding the shifting of funds between communities will be made on a case by case basis taking the current and future needs of each community into consideration.</w:t>
      </w:r>
    </w:p>
    <w:p w14:paraId="1D303F70" w14:textId="2F36607A" w:rsidR="006C170B" w:rsidRPr="00B13294" w:rsidRDefault="00B22CF2" w:rsidP="00842E33">
      <w:pPr>
        <w:pStyle w:val="NoSpacing"/>
        <w:numPr>
          <w:ilvl w:val="1"/>
          <w:numId w:val="5"/>
        </w:numPr>
        <w:rPr>
          <w:b/>
          <w:u w:val="single"/>
        </w:rPr>
      </w:pPr>
      <w:r>
        <w:t xml:space="preserve">Communities that voluntarily forfeit </w:t>
      </w:r>
      <w:r w:rsidR="0025127A">
        <w:t>space</w:t>
      </w:r>
      <w:r w:rsidR="00FF6DD8">
        <w:t>s</w:t>
      </w:r>
      <w:r w:rsidR="0025127A">
        <w:t xml:space="preserve"> and funding allocations will</w:t>
      </w:r>
      <w:r w:rsidR="006C170B">
        <w:t xml:space="preserve"> </w:t>
      </w:r>
      <w:r>
        <w:t>result in a reduction in their maximum allowable funding allocation.</w:t>
      </w:r>
    </w:p>
    <w:p w14:paraId="5EFE732B" w14:textId="31DF2F8B" w:rsidR="006C170B" w:rsidRPr="006C170B" w:rsidRDefault="006C170B" w:rsidP="006C170B">
      <w:pPr>
        <w:pStyle w:val="NoSpacing"/>
        <w:numPr>
          <w:ilvl w:val="2"/>
          <w:numId w:val="5"/>
        </w:numPr>
        <w:rPr>
          <w:b/>
          <w:u w:val="single"/>
        </w:rPr>
      </w:pPr>
      <w:r>
        <w:t xml:space="preserve">School Readiness spaces forfeited by communities will be returned to </w:t>
      </w:r>
      <w:r w:rsidR="00FF6DD8">
        <w:t xml:space="preserve">the </w:t>
      </w:r>
      <w:r>
        <w:t>OEC</w:t>
      </w:r>
    </w:p>
    <w:p w14:paraId="62951D66" w14:textId="61BF9BAE" w:rsidR="006C170B" w:rsidRPr="006C170B" w:rsidRDefault="00FF6DD8" w:rsidP="006C170B">
      <w:pPr>
        <w:pStyle w:val="NoSpacing"/>
        <w:numPr>
          <w:ilvl w:val="2"/>
          <w:numId w:val="5"/>
        </w:numPr>
        <w:rPr>
          <w:b/>
          <w:u w:val="single"/>
        </w:rPr>
      </w:pPr>
      <w:r>
        <w:t xml:space="preserve">The </w:t>
      </w:r>
      <w:r w:rsidR="006C170B">
        <w:t xml:space="preserve">OEC will survey communities to determine space needs and </w:t>
      </w:r>
      <w:r w:rsidR="009A42CA">
        <w:t xml:space="preserve">additional </w:t>
      </w:r>
      <w:r w:rsidR="006C170B">
        <w:t xml:space="preserve">capacity to provide </w:t>
      </w:r>
      <w:r w:rsidR="009A42CA">
        <w:t>services</w:t>
      </w:r>
      <w:r w:rsidR="00B22CF2">
        <w:t>.</w:t>
      </w:r>
      <w:r w:rsidR="006C170B">
        <w:t xml:space="preserve">  </w:t>
      </w:r>
    </w:p>
    <w:p w14:paraId="2B2E37C5" w14:textId="15A821A3" w:rsidR="0085734F" w:rsidRDefault="00912E3D" w:rsidP="00EC6CDB">
      <w:pPr>
        <w:pStyle w:val="NoSpacing"/>
        <w:numPr>
          <w:ilvl w:val="2"/>
          <w:numId w:val="5"/>
        </w:numPr>
        <w:rPr>
          <w:b/>
          <w:u w:val="single"/>
        </w:rPr>
      </w:pPr>
      <w:r>
        <w:t xml:space="preserve">The </w:t>
      </w:r>
      <w:r w:rsidR="006C170B">
        <w:t>OEC will reallocate forfeited spaces based on community need</w:t>
      </w:r>
      <w:r w:rsidR="00B22CF2">
        <w:t xml:space="preserve"> and demonstrated compliance with School Readiness requirements</w:t>
      </w:r>
    </w:p>
    <w:p w14:paraId="271E4ECB" w14:textId="77777777" w:rsidR="003A1719" w:rsidRDefault="003A1719" w:rsidP="00770C0A">
      <w:pPr>
        <w:pStyle w:val="NoSpacing"/>
        <w:rPr>
          <w:b/>
        </w:rPr>
      </w:pPr>
    </w:p>
    <w:p w14:paraId="588F5537" w14:textId="6B91F929" w:rsidR="009F15C9" w:rsidRPr="00EC6CDB" w:rsidRDefault="009F15C9" w:rsidP="00770C0A">
      <w:pPr>
        <w:pStyle w:val="NoSpacing"/>
      </w:pPr>
      <w:r>
        <w:t>FY 21 School Readiness and Administrative funding allocations for each community can be downloaded from the FY21 School Readiness Continuation Funding Application.</w:t>
      </w:r>
    </w:p>
    <w:p w14:paraId="3A11E758" w14:textId="77777777" w:rsidR="009F15C9" w:rsidRDefault="009F15C9" w:rsidP="00770C0A">
      <w:pPr>
        <w:pStyle w:val="NoSpacing"/>
        <w:rPr>
          <w:b/>
        </w:rPr>
      </w:pPr>
    </w:p>
    <w:p w14:paraId="4A6517EE" w14:textId="0F05C8DB" w:rsidR="009F15C9" w:rsidRDefault="009F15C9" w:rsidP="00770C0A">
      <w:pPr>
        <w:pStyle w:val="NoSpacing"/>
        <w:rPr>
          <w:b/>
        </w:rPr>
      </w:pPr>
    </w:p>
    <w:p w14:paraId="6BF73234" w14:textId="77777777" w:rsidR="000F615E" w:rsidRDefault="000F615E" w:rsidP="00770C0A">
      <w:pPr>
        <w:pStyle w:val="NoSpacing"/>
        <w:rPr>
          <w:b/>
        </w:rPr>
      </w:pPr>
    </w:p>
    <w:p w14:paraId="1AA37310" w14:textId="77777777" w:rsidR="009F15C9" w:rsidRDefault="009F15C9" w:rsidP="009F15C9">
      <w:pPr>
        <w:pStyle w:val="NoSpacing"/>
        <w:rPr>
          <w:b/>
          <w:u w:val="single"/>
        </w:rPr>
      </w:pPr>
      <w:r w:rsidRPr="00A64D5D">
        <w:rPr>
          <w:b/>
          <w:u w:val="single"/>
        </w:rPr>
        <w:t>QUALITY ENHANCEMENT</w:t>
      </w:r>
      <w:r>
        <w:rPr>
          <w:b/>
          <w:u w:val="single"/>
        </w:rPr>
        <w:t xml:space="preserve"> CONTINUATION FUNDING</w:t>
      </w:r>
    </w:p>
    <w:p w14:paraId="0B81E77C" w14:textId="77777777" w:rsidR="009F15C9" w:rsidRDefault="009F15C9" w:rsidP="009F15C9">
      <w:pPr>
        <w:pStyle w:val="NoSpacing"/>
        <w:rPr>
          <w:b/>
          <w:u w:val="single"/>
        </w:rPr>
      </w:pPr>
    </w:p>
    <w:p w14:paraId="119A3C24" w14:textId="6841A612" w:rsidR="009F15C9" w:rsidRDefault="009F15C9" w:rsidP="009F15C9">
      <w:pPr>
        <w:pStyle w:val="NoSpacing"/>
      </w:pPr>
      <w:r w:rsidRPr="00FE76DB">
        <w:t>Applications for FY 21 Quality Enhancement Continuation funding will be processed in September 2020.  Communities may extend the services provided through Quality Enhancement in FY 2020 or may issue a public notice for new proposals.  Communities are strongly encouraged to assess the changing conditions due to the current pandemic and utilize Quality Enhancement funds accordingly. Additional information regarding the submission of Quality Enhancement funding requests will be provided in late August.</w:t>
      </w:r>
      <w:r>
        <w:t xml:space="preserve">  </w:t>
      </w:r>
    </w:p>
    <w:p w14:paraId="501EAB88" w14:textId="57EDE9FC" w:rsidR="009F15C9" w:rsidRDefault="009F15C9" w:rsidP="009F15C9">
      <w:pPr>
        <w:pStyle w:val="NoSpacing"/>
      </w:pPr>
    </w:p>
    <w:p w14:paraId="5D363D24" w14:textId="0FF2141F" w:rsidR="009F15C9" w:rsidRPr="00946762" w:rsidRDefault="009F15C9" w:rsidP="009F15C9">
      <w:pPr>
        <w:pStyle w:val="NoSpacing"/>
      </w:pPr>
      <w:r>
        <w:t>FY21 Quality Enhancement allocations shall align with funding levels awarded in FY20.</w:t>
      </w:r>
    </w:p>
    <w:p w14:paraId="6501FE7A" w14:textId="77777777" w:rsidR="009F15C9" w:rsidRDefault="009F15C9" w:rsidP="009F15C9">
      <w:pPr>
        <w:pStyle w:val="NoSpacing"/>
        <w:rPr>
          <w:b/>
          <w:u w:val="single"/>
        </w:rPr>
      </w:pPr>
    </w:p>
    <w:p w14:paraId="6434586F" w14:textId="77777777" w:rsidR="009F15C9" w:rsidRDefault="009F15C9" w:rsidP="00770C0A">
      <w:pPr>
        <w:pStyle w:val="NoSpacing"/>
        <w:rPr>
          <w:b/>
        </w:rPr>
      </w:pPr>
    </w:p>
    <w:p w14:paraId="3D3A9C3F" w14:textId="77777777" w:rsidR="009F15C9" w:rsidRDefault="009F15C9" w:rsidP="00770C0A">
      <w:pPr>
        <w:pStyle w:val="NoSpacing"/>
        <w:rPr>
          <w:b/>
        </w:rPr>
      </w:pPr>
    </w:p>
    <w:p w14:paraId="7AF2CBD2" w14:textId="054DDB06" w:rsidR="009F15C9" w:rsidRDefault="009F15C9" w:rsidP="00770C0A">
      <w:pPr>
        <w:pStyle w:val="NoSpacing"/>
        <w:rPr>
          <w:b/>
        </w:rPr>
      </w:pPr>
    </w:p>
    <w:p w14:paraId="16D81879" w14:textId="77777777" w:rsidR="000F615E" w:rsidRDefault="000F615E" w:rsidP="00770C0A">
      <w:pPr>
        <w:pStyle w:val="NoSpacing"/>
        <w:rPr>
          <w:b/>
        </w:rPr>
      </w:pPr>
    </w:p>
    <w:p w14:paraId="5008206C" w14:textId="77777777" w:rsidR="009F15C9" w:rsidRDefault="009F15C9" w:rsidP="00770C0A">
      <w:pPr>
        <w:pStyle w:val="NoSpacing"/>
        <w:rPr>
          <w:b/>
        </w:rPr>
      </w:pPr>
    </w:p>
    <w:p w14:paraId="797D34E0" w14:textId="77777777" w:rsidR="009F15C9" w:rsidRDefault="009F15C9" w:rsidP="00770C0A">
      <w:pPr>
        <w:pStyle w:val="NoSpacing"/>
        <w:rPr>
          <w:b/>
        </w:rPr>
      </w:pPr>
    </w:p>
    <w:p w14:paraId="7FC788A7" w14:textId="77777777" w:rsidR="009F15C9" w:rsidRDefault="009F15C9" w:rsidP="00770C0A">
      <w:pPr>
        <w:pStyle w:val="NoSpacing"/>
        <w:rPr>
          <w:b/>
        </w:rPr>
      </w:pPr>
    </w:p>
    <w:p w14:paraId="2C5E337B" w14:textId="3DE09BE3" w:rsidR="0085734F" w:rsidRDefault="0085734F" w:rsidP="00770C0A">
      <w:pPr>
        <w:pStyle w:val="NoSpacing"/>
        <w:rPr>
          <w:b/>
        </w:rPr>
      </w:pPr>
      <w:r>
        <w:rPr>
          <w:b/>
        </w:rPr>
        <w:t>SERVICES MAY BE PROVIDED IN A COMBINATION OF THE FOLLOWING SPACE TYPES:</w:t>
      </w:r>
    </w:p>
    <w:p w14:paraId="34E9B034" w14:textId="77777777" w:rsidR="0085734F" w:rsidRDefault="0085734F" w:rsidP="00770C0A">
      <w:pPr>
        <w:pStyle w:val="NoSpacing"/>
        <w:rPr>
          <w:b/>
          <w:u w:val="single"/>
        </w:rPr>
      </w:pPr>
      <w:r>
        <w:rPr>
          <w:b/>
          <w:u w:val="single"/>
        </w:rPr>
        <w:t xml:space="preserve"> </w:t>
      </w:r>
    </w:p>
    <w:tbl>
      <w:tblPr>
        <w:tblStyle w:val="TableGrid"/>
        <w:tblW w:w="0" w:type="auto"/>
        <w:tblLook w:val="04A0" w:firstRow="1" w:lastRow="0" w:firstColumn="1" w:lastColumn="0" w:noHBand="0" w:noVBand="1"/>
      </w:tblPr>
      <w:tblGrid>
        <w:gridCol w:w="1615"/>
        <w:gridCol w:w="1186"/>
        <w:gridCol w:w="1329"/>
        <w:gridCol w:w="1175"/>
        <w:gridCol w:w="1476"/>
        <w:gridCol w:w="1329"/>
        <w:gridCol w:w="1240"/>
      </w:tblGrid>
      <w:tr w:rsidR="007B20A4" w:rsidRPr="00DD1A92" w14:paraId="6FD69D6E" w14:textId="77777777" w:rsidTr="0085734F">
        <w:trPr>
          <w:trHeight w:val="512"/>
        </w:trPr>
        <w:tc>
          <w:tcPr>
            <w:tcW w:w="1615" w:type="dxa"/>
            <w:shd w:val="clear" w:color="auto" w:fill="D9D9D9" w:themeFill="background1" w:themeFillShade="D9"/>
          </w:tcPr>
          <w:p w14:paraId="04198F6A" w14:textId="77777777" w:rsidR="007B20A4" w:rsidRPr="00DD1A92" w:rsidRDefault="007B20A4" w:rsidP="007B20A4">
            <w:pPr>
              <w:rPr>
                <w:b/>
                <w:sz w:val="20"/>
                <w:szCs w:val="20"/>
              </w:rPr>
            </w:pPr>
          </w:p>
        </w:tc>
        <w:tc>
          <w:tcPr>
            <w:tcW w:w="3690" w:type="dxa"/>
            <w:gridSpan w:val="3"/>
            <w:shd w:val="clear" w:color="auto" w:fill="D9D9D9" w:themeFill="background1" w:themeFillShade="D9"/>
          </w:tcPr>
          <w:p w14:paraId="639F84C9" w14:textId="77777777" w:rsidR="007B20A4" w:rsidRPr="00DD1A92" w:rsidRDefault="007B20A4" w:rsidP="00FE45C3">
            <w:pPr>
              <w:jc w:val="center"/>
              <w:rPr>
                <w:sz w:val="20"/>
                <w:szCs w:val="20"/>
              </w:rPr>
            </w:pPr>
            <w:r w:rsidRPr="00DD1A92">
              <w:rPr>
                <w:sz w:val="20"/>
                <w:szCs w:val="20"/>
              </w:rPr>
              <w:t>FY20 GRANT REQUIREMENTS</w:t>
            </w:r>
          </w:p>
          <w:p w14:paraId="79B60475" w14:textId="77777777" w:rsidR="007B20A4" w:rsidRPr="00DD1A92" w:rsidRDefault="007B20A4" w:rsidP="00FE45C3">
            <w:pPr>
              <w:jc w:val="center"/>
              <w:rPr>
                <w:sz w:val="20"/>
                <w:szCs w:val="20"/>
              </w:rPr>
            </w:pPr>
            <w:r w:rsidRPr="00DD1A92">
              <w:rPr>
                <w:sz w:val="20"/>
                <w:szCs w:val="20"/>
              </w:rPr>
              <w:t>(12 MONTHS)</w:t>
            </w:r>
          </w:p>
          <w:p w14:paraId="56D5FCDB" w14:textId="77777777" w:rsidR="007B20A4" w:rsidRPr="00DD1A92" w:rsidRDefault="007B20A4" w:rsidP="00FE45C3">
            <w:pPr>
              <w:jc w:val="center"/>
              <w:rPr>
                <w:sz w:val="20"/>
                <w:szCs w:val="20"/>
              </w:rPr>
            </w:pPr>
          </w:p>
        </w:tc>
        <w:tc>
          <w:tcPr>
            <w:tcW w:w="4045" w:type="dxa"/>
            <w:gridSpan w:val="3"/>
          </w:tcPr>
          <w:p w14:paraId="6A523D3D" w14:textId="77777777" w:rsidR="007B20A4" w:rsidRPr="00D01ACB" w:rsidRDefault="007B20A4" w:rsidP="00FE45C3">
            <w:pPr>
              <w:jc w:val="center"/>
              <w:rPr>
                <w:b/>
                <w:sz w:val="20"/>
                <w:szCs w:val="20"/>
              </w:rPr>
            </w:pPr>
            <w:r w:rsidRPr="00D01ACB">
              <w:rPr>
                <w:b/>
                <w:sz w:val="20"/>
                <w:szCs w:val="20"/>
              </w:rPr>
              <w:t>FY 21 GRANT REQUIREMENTS W</w:t>
            </w:r>
            <w:r w:rsidR="008F1E9F" w:rsidRPr="00D01ACB">
              <w:rPr>
                <w:b/>
                <w:sz w:val="20"/>
                <w:szCs w:val="20"/>
              </w:rPr>
              <w:t>ITH COMMUNITY</w:t>
            </w:r>
          </w:p>
          <w:p w14:paraId="70044BA3" w14:textId="77777777" w:rsidR="007B20A4" w:rsidRPr="00D01ACB" w:rsidRDefault="007B20A4" w:rsidP="00FE45C3">
            <w:pPr>
              <w:jc w:val="center"/>
              <w:rPr>
                <w:b/>
                <w:sz w:val="20"/>
                <w:szCs w:val="20"/>
              </w:rPr>
            </w:pPr>
            <w:r w:rsidRPr="00D01ACB">
              <w:rPr>
                <w:b/>
                <w:sz w:val="20"/>
                <w:szCs w:val="20"/>
              </w:rPr>
              <w:t>(10 MONTHS)</w:t>
            </w:r>
          </w:p>
        </w:tc>
      </w:tr>
      <w:tr w:rsidR="007B20A4" w:rsidRPr="00DD1A92" w14:paraId="6D0D3178" w14:textId="77777777" w:rsidTr="0085734F">
        <w:tc>
          <w:tcPr>
            <w:tcW w:w="1615" w:type="dxa"/>
            <w:shd w:val="clear" w:color="auto" w:fill="D9D9D9" w:themeFill="background1" w:themeFillShade="D9"/>
          </w:tcPr>
          <w:p w14:paraId="1762707C" w14:textId="77777777" w:rsidR="007B20A4" w:rsidRPr="00DD1A92" w:rsidRDefault="007B20A4" w:rsidP="00FE45C3">
            <w:pPr>
              <w:jc w:val="center"/>
              <w:rPr>
                <w:sz w:val="20"/>
                <w:szCs w:val="20"/>
              </w:rPr>
            </w:pPr>
          </w:p>
          <w:p w14:paraId="368211B3" w14:textId="77777777" w:rsidR="007B20A4" w:rsidRPr="00DD1A92" w:rsidRDefault="007B20A4" w:rsidP="00FE45C3">
            <w:pPr>
              <w:jc w:val="center"/>
              <w:rPr>
                <w:sz w:val="20"/>
                <w:szCs w:val="20"/>
              </w:rPr>
            </w:pPr>
            <w:r w:rsidRPr="00DD1A92">
              <w:rPr>
                <w:sz w:val="20"/>
                <w:szCs w:val="20"/>
              </w:rPr>
              <w:t>Space Type</w:t>
            </w:r>
          </w:p>
        </w:tc>
        <w:tc>
          <w:tcPr>
            <w:tcW w:w="1186" w:type="dxa"/>
            <w:shd w:val="clear" w:color="auto" w:fill="D9D9D9" w:themeFill="background1" w:themeFillShade="D9"/>
          </w:tcPr>
          <w:p w14:paraId="36EDD2E6" w14:textId="77777777" w:rsidR="007B20A4" w:rsidRPr="00DD1A92" w:rsidRDefault="007B20A4" w:rsidP="00FE45C3">
            <w:pPr>
              <w:jc w:val="center"/>
              <w:rPr>
                <w:sz w:val="20"/>
                <w:szCs w:val="20"/>
              </w:rPr>
            </w:pPr>
            <w:r w:rsidRPr="00DD1A92">
              <w:rPr>
                <w:sz w:val="20"/>
                <w:szCs w:val="20"/>
              </w:rPr>
              <w:t xml:space="preserve">Hours of Access </w:t>
            </w:r>
          </w:p>
          <w:p w14:paraId="5CC09759" w14:textId="77777777" w:rsidR="007B20A4" w:rsidRPr="00DD1A92" w:rsidRDefault="007B20A4" w:rsidP="00FE45C3">
            <w:pPr>
              <w:jc w:val="center"/>
              <w:rPr>
                <w:sz w:val="20"/>
                <w:szCs w:val="20"/>
              </w:rPr>
            </w:pPr>
            <w:r w:rsidRPr="00DD1A92">
              <w:rPr>
                <w:sz w:val="20"/>
                <w:szCs w:val="20"/>
              </w:rPr>
              <w:t>Per Day</w:t>
            </w:r>
          </w:p>
        </w:tc>
        <w:tc>
          <w:tcPr>
            <w:tcW w:w="1329" w:type="dxa"/>
            <w:shd w:val="clear" w:color="auto" w:fill="D9D9D9" w:themeFill="background1" w:themeFillShade="D9"/>
          </w:tcPr>
          <w:p w14:paraId="637B0A58" w14:textId="77777777" w:rsidR="007B20A4" w:rsidRPr="00DD1A92" w:rsidRDefault="007B20A4" w:rsidP="00DD1A92">
            <w:pPr>
              <w:jc w:val="center"/>
              <w:rPr>
                <w:sz w:val="20"/>
                <w:szCs w:val="20"/>
              </w:rPr>
            </w:pPr>
            <w:r w:rsidRPr="00DD1A92">
              <w:rPr>
                <w:sz w:val="20"/>
                <w:szCs w:val="20"/>
              </w:rPr>
              <w:t xml:space="preserve">Days/Weeks of Access Per Grant </w:t>
            </w:r>
            <w:r w:rsidR="00DD1A92">
              <w:rPr>
                <w:sz w:val="20"/>
                <w:szCs w:val="20"/>
              </w:rPr>
              <w:t>Term</w:t>
            </w:r>
          </w:p>
        </w:tc>
        <w:tc>
          <w:tcPr>
            <w:tcW w:w="1175" w:type="dxa"/>
            <w:shd w:val="clear" w:color="auto" w:fill="D9D9D9" w:themeFill="background1" w:themeFillShade="D9"/>
          </w:tcPr>
          <w:p w14:paraId="0248CA15" w14:textId="77777777" w:rsidR="007B20A4" w:rsidRPr="00DD1A92" w:rsidRDefault="007B20A4" w:rsidP="00FE45C3">
            <w:pPr>
              <w:jc w:val="center"/>
              <w:rPr>
                <w:sz w:val="20"/>
                <w:szCs w:val="20"/>
              </w:rPr>
            </w:pPr>
          </w:p>
          <w:p w14:paraId="3D7D41A0" w14:textId="77777777" w:rsidR="007B20A4" w:rsidRPr="00DD1A92" w:rsidRDefault="007B20A4" w:rsidP="00FE45C3">
            <w:pPr>
              <w:jc w:val="center"/>
              <w:rPr>
                <w:sz w:val="20"/>
                <w:szCs w:val="20"/>
              </w:rPr>
            </w:pPr>
            <w:r w:rsidRPr="00DD1A92">
              <w:rPr>
                <w:sz w:val="20"/>
                <w:szCs w:val="20"/>
              </w:rPr>
              <w:t>Rates</w:t>
            </w:r>
          </w:p>
        </w:tc>
        <w:tc>
          <w:tcPr>
            <w:tcW w:w="1476" w:type="dxa"/>
          </w:tcPr>
          <w:p w14:paraId="094B613C" w14:textId="77777777" w:rsidR="007B20A4" w:rsidRPr="00D01ACB" w:rsidRDefault="007B20A4" w:rsidP="00FE45C3">
            <w:pPr>
              <w:jc w:val="center"/>
              <w:rPr>
                <w:b/>
                <w:sz w:val="20"/>
                <w:szCs w:val="20"/>
              </w:rPr>
            </w:pPr>
            <w:r w:rsidRPr="00D01ACB">
              <w:rPr>
                <w:b/>
                <w:sz w:val="20"/>
                <w:szCs w:val="20"/>
              </w:rPr>
              <w:t xml:space="preserve">Hours of Access </w:t>
            </w:r>
          </w:p>
          <w:p w14:paraId="2BDDF791" w14:textId="77777777" w:rsidR="007B20A4" w:rsidRPr="00D01ACB" w:rsidRDefault="007B20A4" w:rsidP="00FE45C3">
            <w:pPr>
              <w:jc w:val="center"/>
              <w:rPr>
                <w:b/>
                <w:sz w:val="20"/>
                <w:szCs w:val="20"/>
              </w:rPr>
            </w:pPr>
            <w:r w:rsidRPr="00D01ACB">
              <w:rPr>
                <w:b/>
                <w:sz w:val="20"/>
                <w:szCs w:val="20"/>
              </w:rPr>
              <w:t>Per Day</w:t>
            </w:r>
          </w:p>
        </w:tc>
        <w:tc>
          <w:tcPr>
            <w:tcW w:w="1329" w:type="dxa"/>
          </w:tcPr>
          <w:p w14:paraId="7D6F3510" w14:textId="77777777" w:rsidR="007B20A4" w:rsidRPr="00D01ACB" w:rsidRDefault="007B20A4" w:rsidP="00DD1A92">
            <w:pPr>
              <w:jc w:val="center"/>
              <w:rPr>
                <w:b/>
                <w:sz w:val="20"/>
                <w:szCs w:val="20"/>
              </w:rPr>
            </w:pPr>
            <w:r w:rsidRPr="00D01ACB">
              <w:rPr>
                <w:b/>
                <w:sz w:val="20"/>
                <w:szCs w:val="20"/>
              </w:rPr>
              <w:t xml:space="preserve">Days/Weeks of Access Per Grant </w:t>
            </w:r>
            <w:r w:rsidR="00DD1A92" w:rsidRPr="00D01ACB">
              <w:rPr>
                <w:b/>
                <w:sz w:val="20"/>
                <w:szCs w:val="20"/>
              </w:rPr>
              <w:t>Term</w:t>
            </w:r>
          </w:p>
        </w:tc>
        <w:tc>
          <w:tcPr>
            <w:tcW w:w="1240" w:type="dxa"/>
          </w:tcPr>
          <w:p w14:paraId="2E539A47" w14:textId="77777777" w:rsidR="007B20A4" w:rsidRPr="00D01ACB" w:rsidRDefault="007B20A4" w:rsidP="00FE45C3">
            <w:pPr>
              <w:jc w:val="center"/>
              <w:rPr>
                <w:b/>
                <w:sz w:val="20"/>
                <w:szCs w:val="20"/>
              </w:rPr>
            </w:pPr>
          </w:p>
          <w:p w14:paraId="58526C2F" w14:textId="77777777" w:rsidR="007B20A4" w:rsidRPr="00D01ACB" w:rsidRDefault="007B20A4" w:rsidP="00FE45C3">
            <w:pPr>
              <w:jc w:val="center"/>
              <w:rPr>
                <w:b/>
                <w:sz w:val="20"/>
                <w:szCs w:val="20"/>
              </w:rPr>
            </w:pPr>
            <w:r w:rsidRPr="00D01ACB">
              <w:rPr>
                <w:b/>
                <w:sz w:val="20"/>
                <w:szCs w:val="20"/>
              </w:rPr>
              <w:t>Rates</w:t>
            </w:r>
          </w:p>
        </w:tc>
      </w:tr>
      <w:tr w:rsidR="007B20A4" w:rsidRPr="00DD1A92" w14:paraId="3DAE87B2" w14:textId="77777777" w:rsidTr="0085734F">
        <w:trPr>
          <w:trHeight w:val="576"/>
        </w:trPr>
        <w:tc>
          <w:tcPr>
            <w:tcW w:w="1615" w:type="dxa"/>
            <w:shd w:val="clear" w:color="auto" w:fill="D9D9D9" w:themeFill="background1" w:themeFillShade="D9"/>
          </w:tcPr>
          <w:p w14:paraId="2E2FC61A" w14:textId="77777777" w:rsidR="007B20A4" w:rsidRPr="00DD1A92" w:rsidRDefault="007B20A4" w:rsidP="00FE45C3">
            <w:pPr>
              <w:jc w:val="center"/>
              <w:rPr>
                <w:sz w:val="20"/>
                <w:szCs w:val="20"/>
              </w:rPr>
            </w:pPr>
            <w:r w:rsidRPr="00DD1A92">
              <w:rPr>
                <w:sz w:val="20"/>
                <w:szCs w:val="20"/>
              </w:rPr>
              <w:t>FULL DAY/FULL YEAR</w:t>
            </w:r>
          </w:p>
        </w:tc>
        <w:tc>
          <w:tcPr>
            <w:tcW w:w="1186" w:type="dxa"/>
            <w:shd w:val="clear" w:color="auto" w:fill="D9D9D9" w:themeFill="background1" w:themeFillShade="D9"/>
          </w:tcPr>
          <w:p w14:paraId="79CF9082" w14:textId="77777777" w:rsidR="007B20A4" w:rsidRPr="00DD1A92" w:rsidRDefault="007B20A4" w:rsidP="00FE45C3">
            <w:pPr>
              <w:jc w:val="center"/>
              <w:rPr>
                <w:sz w:val="20"/>
                <w:szCs w:val="20"/>
              </w:rPr>
            </w:pPr>
          </w:p>
          <w:p w14:paraId="2AE7CCDB" w14:textId="77777777" w:rsidR="007B20A4" w:rsidRPr="00DD1A92" w:rsidRDefault="007B20A4" w:rsidP="00FE45C3">
            <w:pPr>
              <w:jc w:val="center"/>
              <w:rPr>
                <w:sz w:val="20"/>
                <w:szCs w:val="20"/>
              </w:rPr>
            </w:pPr>
            <w:r w:rsidRPr="00DD1A92">
              <w:rPr>
                <w:sz w:val="20"/>
                <w:szCs w:val="20"/>
              </w:rPr>
              <w:t>10 hours per day</w:t>
            </w:r>
          </w:p>
        </w:tc>
        <w:tc>
          <w:tcPr>
            <w:tcW w:w="1329" w:type="dxa"/>
            <w:shd w:val="clear" w:color="auto" w:fill="D9D9D9" w:themeFill="background1" w:themeFillShade="D9"/>
          </w:tcPr>
          <w:p w14:paraId="19AAAA54" w14:textId="77777777" w:rsidR="007B20A4" w:rsidRPr="00DD1A92" w:rsidRDefault="007B20A4" w:rsidP="00FE45C3">
            <w:pPr>
              <w:jc w:val="center"/>
              <w:rPr>
                <w:sz w:val="20"/>
                <w:szCs w:val="20"/>
              </w:rPr>
            </w:pPr>
          </w:p>
          <w:p w14:paraId="435517E8" w14:textId="77777777" w:rsidR="007B20A4" w:rsidRPr="00DD1A92" w:rsidRDefault="007B20A4" w:rsidP="00FE45C3">
            <w:pPr>
              <w:jc w:val="center"/>
              <w:rPr>
                <w:sz w:val="20"/>
                <w:szCs w:val="20"/>
              </w:rPr>
            </w:pPr>
            <w:r w:rsidRPr="00DD1A92">
              <w:rPr>
                <w:sz w:val="20"/>
                <w:szCs w:val="20"/>
              </w:rPr>
              <w:t>50 weeks</w:t>
            </w:r>
          </w:p>
        </w:tc>
        <w:tc>
          <w:tcPr>
            <w:tcW w:w="1175" w:type="dxa"/>
            <w:shd w:val="clear" w:color="auto" w:fill="D9D9D9" w:themeFill="background1" w:themeFillShade="D9"/>
          </w:tcPr>
          <w:p w14:paraId="3282EC62" w14:textId="77777777" w:rsidR="007B20A4" w:rsidRPr="00DD1A92" w:rsidRDefault="007B20A4" w:rsidP="00FE45C3">
            <w:pPr>
              <w:jc w:val="center"/>
              <w:rPr>
                <w:sz w:val="20"/>
                <w:szCs w:val="20"/>
              </w:rPr>
            </w:pPr>
          </w:p>
          <w:p w14:paraId="63B341EB" w14:textId="2B699606" w:rsidR="007B20A4" w:rsidRPr="00DD1A92" w:rsidRDefault="007B20A4" w:rsidP="00FE45C3">
            <w:pPr>
              <w:jc w:val="center"/>
              <w:rPr>
                <w:sz w:val="20"/>
                <w:szCs w:val="20"/>
              </w:rPr>
            </w:pPr>
            <w:r w:rsidRPr="00DD1A92">
              <w:rPr>
                <w:sz w:val="20"/>
                <w:szCs w:val="20"/>
              </w:rPr>
              <w:t>$7</w:t>
            </w:r>
            <w:r w:rsidR="00912D8E">
              <w:rPr>
                <w:sz w:val="20"/>
                <w:szCs w:val="20"/>
              </w:rPr>
              <w:t>43</w:t>
            </w:r>
            <w:r w:rsidRPr="00DD1A92">
              <w:rPr>
                <w:sz w:val="20"/>
                <w:szCs w:val="20"/>
              </w:rPr>
              <w:t>.66 per month</w:t>
            </w:r>
          </w:p>
          <w:p w14:paraId="6EF4B7CC" w14:textId="77777777" w:rsidR="007B20A4" w:rsidRPr="00DD1A92" w:rsidRDefault="007B20A4" w:rsidP="00FE45C3">
            <w:pPr>
              <w:jc w:val="center"/>
              <w:rPr>
                <w:sz w:val="20"/>
                <w:szCs w:val="20"/>
              </w:rPr>
            </w:pPr>
          </w:p>
        </w:tc>
        <w:tc>
          <w:tcPr>
            <w:tcW w:w="1476" w:type="dxa"/>
          </w:tcPr>
          <w:p w14:paraId="3D3C0EBC" w14:textId="77777777" w:rsidR="007B20A4" w:rsidRPr="00D01ACB" w:rsidRDefault="007B20A4" w:rsidP="00FE45C3">
            <w:pPr>
              <w:jc w:val="center"/>
              <w:rPr>
                <w:b/>
                <w:sz w:val="20"/>
                <w:szCs w:val="20"/>
              </w:rPr>
            </w:pPr>
          </w:p>
          <w:p w14:paraId="440E256D" w14:textId="77777777" w:rsidR="007B20A4" w:rsidRPr="00D01ACB" w:rsidRDefault="007B20A4" w:rsidP="00FE45C3">
            <w:pPr>
              <w:jc w:val="center"/>
              <w:rPr>
                <w:b/>
                <w:sz w:val="20"/>
                <w:szCs w:val="20"/>
              </w:rPr>
            </w:pPr>
            <w:r w:rsidRPr="00D01ACB">
              <w:rPr>
                <w:b/>
                <w:sz w:val="20"/>
                <w:szCs w:val="20"/>
              </w:rPr>
              <w:t>10 hours per day</w:t>
            </w:r>
          </w:p>
        </w:tc>
        <w:tc>
          <w:tcPr>
            <w:tcW w:w="1329" w:type="dxa"/>
          </w:tcPr>
          <w:p w14:paraId="6DBEAC59" w14:textId="77777777" w:rsidR="007B20A4" w:rsidRPr="00D01ACB" w:rsidRDefault="007B20A4" w:rsidP="00FE45C3">
            <w:pPr>
              <w:jc w:val="center"/>
              <w:rPr>
                <w:b/>
                <w:sz w:val="20"/>
                <w:szCs w:val="20"/>
              </w:rPr>
            </w:pPr>
          </w:p>
          <w:p w14:paraId="46E6C5CC" w14:textId="77777777" w:rsidR="007B20A4" w:rsidRPr="00D01ACB" w:rsidRDefault="007B20A4" w:rsidP="00FE45C3">
            <w:pPr>
              <w:jc w:val="center"/>
              <w:rPr>
                <w:b/>
                <w:sz w:val="20"/>
                <w:szCs w:val="20"/>
              </w:rPr>
            </w:pPr>
            <w:r w:rsidRPr="00D01ACB">
              <w:rPr>
                <w:b/>
                <w:sz w:val="20"/>
                <w:szCs w:val="20"/>
              </w:rPr>
              <w:t>41 weeks</w:t>
            </w:r>
            <w:r w:rsidR="0085734F" w:rsidRPr="00D01ACB">
              <w:rPr>
                <w:b/>
                <w:sz w:val="20"/>
                <w:szCs w:val="20"/>
              </w:rPr>
              <w:t>*</w:t>
            </w:r>
          </w:p>
        </w:tc>
        <w:tc>
          <w:tcPr>
            <w:tcW w:w="1240" w:type="dxa"/>
          </w:tcPr>
          <w:p w14:paraId="1E3EF981" w14:textId="77777777" w:rsidR="007B20A4" w:rsidRPr="00D01ACB" w:rsidRDefault="007B20A4" w:rsidP="00FE45C3">
            <w:pPr>
              <w:jc w:val="center"/>
              <w:rPr>
                <w:b/>
                <w:sz w:val="20"/>
                <w:szCs w:val="20"/>
              </w:rPr>
            </w:pPr>
          </w:p>
          <w:p w14:paraId="70F68DE5" w14:textId="05C54F0F" w:rsidR="007B20A4" w:rsidRPr="00D01ACB" w:rsidRDefault="007B20A4" w:rsidP="00912D8E">
            <w:pPr>
              <w:jc w:val="center"/>
              <w:rPr>
                <w:b/>
                <w:sz w:val="20"/>
                <w:szCs w:val="20"/>
              </w:rPr>
            </w:pPr>
            <w:r w:rsidRPr="00D01ACB">
              <w:rPr>
                <w:b/>
                <w:sz w:val="20"/>
                <w:szCs w:val="20"/>
              </w:rPr>
              <w:t>$7</w:t>
            </w:r>
            <w:r w:rsidR="00912D8E">
              <w:rPr>
                <w:b/>
                <w:sz w:val="20"/>
                <w:szCs w:val="20"/>
              </w:rPr>
              <w:t>43</w:t>
            </w:r>
            <w:r w:rsidRPr="00D01ACB">
              <w:rPr>
                <w:b/>
                <w:sz w:val="20"/>
                <w:szCs w:val="20"/>
              </w:rPr>
              <w:t>.66 per month</w:t>
            </w:r>
          </w:p>
        </w:tc>
      </w:tr>
      <w:tr w:rsidR="007B20A4" w:rsidRPr="00DD1A92" w14:paraId="21D2AD83" w14:textId="77777777" w:rsidTr="0085734F">
        <w:tc>
          <w:tcPr>
            <w:tcW w:w="1615" w:type="dxa"/>
            <w:shd w:val="clear" w:color="auto" w:fill="D9D9D9" w:themeFill="background1" w:themeFillShade="D9"/>
          </w:tcPr>
          <w:p w14:paraId="6B989B17" w14:textId="77777777" w:rsidR="007B20A4" w:rsidRPr="00DD1A92" w:rsidRDefault="007B20A4" w:rsidP="00FE45C3">
            <w:pPr>
              <w:jc w:val="center"/>
              <w:rPr>
                <w:sz w:val="20"/>
                <w:szCs w:val="20"/>
              </w:rPr>
            </w:pPr>
            <w:r w:rsidRPr="00DD1A92">
              <w:rPr>
                <w:sz w:val="20"/>
                <w:szCs w:val="20"/>
              </w:rPr>
              <w:t>SCHOOL DAY/SCHOOL YEAR</w:t>
            </w:r>
          </w:p>
        </w:tc>
        <w:tc>
          <w:tcPr>
            <w:tcW w:w="1186" w:type="dxa"/>
            <w:shd w:val="clear" w:color="auto" w:fill="D9D9D9" w:themeFill="background1" w:themeFillShade="D9"/>
          </w:tcPr>
          <w:p w14:paraId="5882C2FB" w14:textId="77777777" w:rsidR="007B20A4" w:rsidRPr="00DD1A92" w:rsidRDefault="007B20A4" w:rsidP="00FE45C3">
            <w:pPr>
              <w:jc w:val="center"/>
              <w:rPr>
                <w:sz w:val="20"/>
                <w:szCs w:val="20"/>
              </w:rPr>
            </w:pPr>
          </w:p>
          <w:p w14:paraId="2B7EFA51" w14:textId="77777777" w:rsidR="007B20A4" w:rsidRPr="00DD1A92" w:rsidRDefault="007B20A4" w:rsidP="00FE45C3">
            <w:pPr>
              <w:jc w:val="center"/>
              <w:rPr>
                <w:sz w:val="20"/>
                <w:szCs w:val="20"/>
              </w:rPr>
            </w:pPr>
            <w:r w:rsidRPr="00DD1A92">
              <w:rPr>
                <w:sz w:val="20"/>
                <w:szCs w:val="20"/>
              </w:rPr>
              <w:t>6 hours per day</w:t>
            </w:r>
          </w:p>
        </w:tc>
        <w:tc>
          <w:tcPr>
            <w:tcW w:w="1329" w:type="dxa"/>
            <w:shd w:val="clear" w:color="auto" w:fill="D9D9D9" w:themeFill="background1" w:themeFillShade="D9"/>
          </w:tcPr>
          <w:p w14:paraId="4155B4D1" w14:textId="77777777" w:rsidR="007B20A4" w:rsidRPr="00DD1A92" w:rsidRDefault="007B20A4" w:rsidP="00FE45C3">
            <w:pPr>
              <w:jc w:val="center"/>
              <w:rPr>
                <w:sz w:val="20"/>
                <w:szCs w:val="20"/>
              </w:rPr>
            </w:pPr>
          </w:p>
          <w:p w14:paraId="10068308" w14:textId="77777777" w:rsidR="007B20A4" w:rsidRPr="00DD1A92" w:rsidRDefault="007B20A4" w:rsidP="00FE45C3">
            <w:pPr>
              <w:jc w:val="center"/>
              <w:rPr>
                <w:sz w:val="20"/>
                <w:szCs w:val="20"/>
              </w:rPr>
            </w:pPr>
            <w:r w:rsidRPr="00DD1A92">
              <w:rPr>
                <w:sz w:val="20"/>
                <w:szCs w:val="20"/>
              </w:rPr>
              <w:t>180 days</w:t>
            </w:r>
          </w:p>
        </w:tc>
        <w:tc>
          <w:tcPr>
            <w:tcW w:w="1175" w:type="dxa"/>
            <w:shd w:val="clear" w:color="auto" w:fill="D9D9D9" w:themeFill="background1" w:themeFillShade="D9"/>
          </w:tcPr>
          <w:p w14:paraId="64DD79DC" w14:textId="77777777" w:rsidR="007B20A4" w:rsidRPr="00DD1A92" w:rsidRDefault="007B20A4" w:rsidP="00FE45C3">
            <w:pPr>
              <w:jc w:val="center"/>
              <w:rPr>
                <w:sz w:val="20"/>
                <w:szCs w:val="20"/>
              </w:rPr>
            </w:pPr>
          </w:p>
          <w:p w14:paraId="1F98D05B" w14:textId="77777777" w:rsidR="007B20A4" w:rsidRPr="00DD1A92" w:rsidRDefault="007B20A4" w:rsidP="00FE45C3">
            <w:pPr>
              <w:jc w:val="center"/>
              <w:rPr>
                <w:sz w:val="20"/>
                <w:szCs w:val="20"/>
              </w:rPr>
            </w:pPr>
            <w:r w:rsidRPr="00DD1A92">
              <w:rPr>
                <w:sz w:val="20"/>
                <w:szCs w:val="20"/>
              </w:rPr>
              <w:t>$600 per month</w:t>
            </w:r>
          </w:p>
          <w:p w14:paraId="447DE7F5" w14:textId="77777777" w:rsidR="007B20A4" w:rsidRPr="00DD1A92" w:rsidRDefault="007B20A4" w:rsidP="00FE45C3">
            <w:pPr>
              <w:jc w:val="center"/>
              <w:rPr>
                <w:sz w:val="20"/>
                <w:szCs w:val="20"/>
              </w:rPr>
            </w:pPr>
          </w:p>
        </w:tc>
        <w:tc>
          <w:tcPr>
            <w:tcW w:w="1476" w:type="dxa"/>
          </w:tcPr>
          <w:p w14:paraId="2D3884FC" w14:textId="77777777" w:rsidR="007B20A4" w:rsidRPr="00D01ACB" w:rsidRDefault="007B20A4" w:rsidP="00FE45C3">
            <w:pPr>
              <w:jc w:val="center"/>
              <w:rPr>
                <w:b/>
                <w:sz w:val="20"/>
                <w:szCs w:val="20"/>
              </w:rPr>
            </w:pPr>
          </w:p>
          <w:p w14:paraId="6C528F5C" w14:textId="77777777" w:rsidR="007B20A4" w:rsidRPr="00D01ACB" w:rsidRDefault="007B20A4" w:rsidP="00FE45C3">
            <w:pPr>
              <w:jc w:val="center"/>
              <w:rPr>
                <w:b/>
                <w:sz w:val="20"/>
                <w:szCs w:val="20"/>
              </w:rPr>
            </w:pPr>
            <w:r w:rsidRPr="00D01ACB">
              <w:rPr>
                <w:b/>
                <w:sz w:val="20"/>
                <w:szCs w:val="20"/>
              </w:rPr>
              <w:t xml:space="preserve">6 hours </w:t>
            </w:r>
          </w:p>
          <w:p w14:paraId="3652B821" w14:textId="77777777" w:rsidR="007B20A4" w:rsidRPr="00D01ACB" w:rsidRDefault="007B20A4" w:rsidP="00FE45C3">
            <w:pPr>
              <w:jc w:val="center"/>
              <w:rPr>
                <w:b/>
                <w:sz w:val="20"/>
                <w:szCs w:val="20"/>
              </w:rPr>
            </w:pPr>
            <w:r w:rsidRPr="00D01ACB">
              <w:rPr>
                <w:b/>
                <w:sz w:val="20"/>
                <w:szCs w:val="20"/>
              </w:rPr>
              <w:t>per day</w:t>
            </w:r>
          </w:p>
        </w:tc>
        <w:tc>
          <w:tcPr>
            <w:tcW w:w="1329" w:type="dxa"/>
          </w:tcPr>
          <w:p w14:paraId="1E6E9FA2" w14:textId="77777777" w:rsidR="007B20A4" w:rsidRPr="00D01ACB" w:rsidRDefault="007B20A4" w:rsidP="00FE45C3">
            <w:pPr>
              <w:jc w:val="center"/>
              <w:rPr>
                <w:b/>
                <w:sz w:val="20"/>
                <w:szCs w:val="20"/>
              </w:rPr>
            </w:pPr>
          </w:p>
          <w:p w14:paraId="14EED4EF" w14:textId="77777777" w:rsidR="007B20A4" w:rsidRPr="00D01ACB" w:rsidRDefault="007B20A4" w:rsidP="00FE45C3">
            <w:pPr>
              <w:jc w:val="center"/>
              <w:rPr>
                <w:b/>
                <w:sz w:val="20"/>
                <w:szCs w:val="20"/>
              </w:rPr>
            </w:pPr>
            <w:r w:rsidRPr="00D01ACB">
              <w:rPr>
                <w:b/>
                <w:sz w:val="20"/>
                <w:szCs w:val="20"/>
              </w:rPr>
              <w:t>177 days</w:t>
            </w:r>
            <w:r w:rsidR="0085734F" w:rsidRPr="00D01ACB">
              <w:rPr>
                <w:b/>
                <w:sz w:val="20"/>
                <w:szCs w:val="20"/>
              </w:rPr>
              <w:t>**</w:t>
            </w:r>
          </w:p>
        </w:tc>
        <w:tc>
          <w:tcPr>
            <w:tcW w:w="1240" w:type="dxa"/>
          </w:tcPr>
          <w:p w14:paraId="296B8874" w14:textId="77777777" w:rsidR="007B20A4" w:rsidRPr="00D01ACB" w:rsidRDefault="007B20A4" w:rsidP="00FE45C3">
            <w:pPr>
              <w:jc w:val="center"/>
              <w:rPr>
                <w:b/>
                <w:sz w:val="20"/>
                <w:szCs w:val="20"/>
              </w:rPr>
            </w:pPr>
          </w:p>
          <w:p w14:paraId="1D5E8363" w14:textId="77777777" w:rsidR="007B20A4" w:rsidRPr="00D01ACB" w:rsidRDefault="007B20A4" w:rsidP="00FE45C3">
            <w:pPr>
              <w:jc w:val="center"/>
              <w:rPr>
                <w:b/>
                <w:sz w:val="20"/>
                <w:szCs w:val="20"/>
              </w:rPr>
            </w:pPr>
            <w:r w:rsidRPr="00D01ACB">
              <w:rPr>
                <w:b/>
                <w:sz w:val="20"/>
                <w:szCs w:val="20"/>
              </w:rPr>
              <w:t>$600 per month</w:t>
            </w:r>
          </w:p>
          <w:p w14:paraId="4DE33E1D" w14:textId="77777777" w:rsidR="007B20A4" w:rsidRPr="00D01ACB" w:rsidRDefault="007B20A4" w:rsidP="00FE45C3">
            <w:pPr>
              <w:jc w:val="center"/>
              <w:rPr>
                <w:b/>
                <w:sz w:val="20"/>
                <w:szCs w:val="20"/>
              </w:rPr>
            </w:pPr>
          </w:p>
        </w:tc>
      </w:tr>
      <w:tr w:rsidR="007B20A4" w:rsidRPr="00DD1A92" w14:paraId="15C5490B" w14:textId="77777777" w:rsidTr="0085734F">
        <w:trPr>
          <w:trHeight w:val="782"/>
        </w:trPr>
        <w:tc>
          <w:tcPr>
            <w:tcW w:w="1615" w:type="dxa"/>
            <w:shd w:val="clear" w:color="auto" w:fill="D9D9D9" w:themeFill="background1" w:themeFillShade="D9"/>
          </w:tcPr>
          <w:p w14:paraId="2A573F4D" w14:textId="77777777" w:rsidR="007B20A4" w:rsidRDefault="007B20A4" w:rsidP="00FE45C3">
            <w:pPr>
              <w:jc w:val="center"/>
              <w:rPr>
                <w:sz w:val="20"/>
                <w:szCs w:val="20"/>
              </w:rPr>
            </w:pPr>
            <w:r w:rsidRPr="00DD1A92">
              <w:rPr>
                <w:sz w:val="20"/>
                <w:szCs w:val="20"/>
              </w:rPr>
              <w:t>PART DAY/PART YEAR</w:t>
            </w:r>
            <w:r w:rsidR="00385B7C">
              <w:rPr>
                <w:sz w:val="20"/>
                <w:szCs w:val="20"/>
              </w:rPr>
              <w:t xml:space="preserve">  </w:t>
            </w:r>
          </w:p>
          <w:p w14:paraId="7024361A" w14:textId="77777777" w:rsidR="00385B7C" w:rsidRDefault="00385B7C" w:rsidP="00FE45C3">
            <w:pPr>
              <w:jc w:val="center"/>
              <w:rPr>
                <w:sz w:val="20"/>
                <w:szCs w:val="20"/>
              </w:rPr>
            </w:pPr>
            <w:r>
              <w:rPr>
                <w:sz w:val="20"/>
                <w:szCs w:val="20"/>
              </w:rPr>
              <w:t>On-site/</w:t>
            </w:r>
          </w:p>
          <w:p w14:paraId="383C6813" w14:textId="77777777" w:rsidR="00385B7C" w:rsidRPr="00DD1A92" w:rsidRDefault="00385B7C" w:rsidP="00FE45C3">
            <w:pPr>
              <w:jc w:val="center"/>
              <w:rPr>
                <w:sz w:val="20"/>
                <w:szCs w:val="20"/>
              </w:rPr>
            </w:pPr>
            <w:r>
              <w:rPr>
                <w:sz w:val="20"/>
                <w:szCs w:val="20"/>
              </w:rPr>
              <w:t>Remote/Hybrid</w:t>
            </w:r>
          </w:p>
        </w:tc>
        <w:tc>
          <w:tcPr>
            <w:tcW w:w="1186" w:type="dxa"/>
            <w:shd w:val="clear" w:color="auto" w:fill="D9D9D9" w:themeFill="background1" w:themeFillShade="D9"/>
          </w:tcPr>
          <w:p w14:paraId="007178A6" w14:textId="77777777" w:rsidR="007B20A4" w:rsidRPr="00DD1A92" w:rsidRDefault="007B20A4" w:rsidP="00FE45C3">
            <w:pPr>
              <w:jc w:val="center"/>
              <w:rPr>
                <w:sz w:val="20"/>
                <w:szCs w:val="20"/>
              </w:rPr>
            </w:pPr>
          </w:p>
          <w:p w14:paraId="1C2E2052" w14:textId="77777777" w:rsidR="007B20A4" w:rsidRPr="00DD1A92" w:rsidRDefault="007B20A4" w:rsidP="00FE45C3">
            <w:pPr>
              <w:jc w:val="center"/>
              <w:rPr>
                <w:sz w:val="20"/>
                <w:szCs w:val="20"/>
              </w:rPr>
            </w:pPr>
            <w:r w:rsidRPr="00DD1A92">
              <w:rPr>
                <w:sz w:val="20"/>
                <w:szCs w:val="20"/>
              </w:rPr>
              <w:t>2.5 hours per day</w:t>
            </w:r>
          </w:p>
        </w:tc>
        <w:tc>
          <w:tcPr>
            <w:tcW w:w="1329" w:type="dxa"/>
            <w:shd w:val="clear" w:color="auto" w:fill="D9D9D9" w:themeFill="background1" w:themeFillShade="D9"/>
          </w:tcPr>
          <w:p w14:paraId="309A9D1E" w14:textId="77777777" w:rsidR="007B20A4" w:rsidRPr="00DD1A92" w:rsidRDefault="007B20A4" w:rsidP="00FE45C3">
            <w:pPr>
              <w:jc w:val="center"/>
              <w:rPr>
                <w:sz w:val="20"/>
                <w:szCs w:val="20"/>
              </w:rPr>
            </w:pPr>
          </w:p>
          <w:p w14:paraId="368A5723" w14:textId="77777777" w:rsidR="007B20A4" w:rsidRPr="00DD1A92" w:rsidRDefault="007B20A4" w:rsidP="00FE45C3">
            <w:pPr>
              <w:jc w:val="center"/>
              <w:rPr>
                <w:sz w:val="20"/>
                <w:szCs w:val="20"/>
              </w:rPr>
            </w:pPr>
            <w:r w:rsidRPr="00DD1A92">
              <w:rPr>
                <w:sz w:val="20"/>
                <w:szCs w:val="20"/>
              </w:rPr>
              <w:t>180 days</w:t>
            </w:r>
          </w:p>
        </w:tc>
        <w:tc>
          <w:tcPr>
            <w:tcW w:w="1175" w:type="dxa"/>
            <w:shd w:val="clear" w:color="auto" w:fill="D9D9D9" w:themeFill="background1" w:themeFillShade="D9"/>
          </w:tcPr>
          <w:p w14:paraId="743DA3A1" w14:textId="77777777" w:rsidR="007B20A4" w:rsidRPr="00DD1A92" w:rsidRDefault="007B20A4" w:rsidP="00FE45C3">
            <w:pPr>
              <w:jc w:val="center"/>
              <w:rPr>
                <w:sz w:val="20"/>
                <w:szCs w:val="20"/>
              </w:rPr>
            </w:pPr>
            <w:r w:rsidRPr="00DD1A92">
              <w:rPr>
                <w:sz w:val="20"/>
                <w:szCs w:val="20"/>
              </w:rPr>
              <w:t xml:space="preserve"> </w:t>
            </w:r>
          </w:p>
          <w:p w14:paraId="7BBB4BC6" w14:textId="77777777" w:rsidR="007B20A4" w:rsidRPr="00DD1A92" w:rsidRDefault="007B20A4" w:rsidP="00FE45C3">
            <w:pPr>
              <w:jc w:val="center"/>
              <w:rPr>
                <w:sz w:val="20"/>
                <w:szCs w:val="20"/>
              </w:rPr>
            </w:pPr>
            <w:r w:rsidRPr="00DD1A92">
              <w:rPr>
                <w:sz w:val="20"/>
                <w:szCs w:val="20"/>
              </w:rPr>
              <w:t>$450 per month</w:t>
            </w:r>
          </w:p>
          <w:p w14:paraId="5B56E789" w14:textId="77777777" w:rsidR="007B20A4" w:rsidRPr="00DD1A92" w:rsidRDefault="007B20A4" w:rsidP="00FE45C3">
            <w:pPr>
              <w:jc w:val="center"/>
              <w:rPr>
                <w:sz w:val="20"/>
                <w:szCs w:val="20"/>
              </w:rPr>
            </w:pPr>
          </w:p>
        </w:tc>
        <w:tc>
          <w:tcPr>
            <w:tcW w:w="1476" w:type="dxa"/>
          </w:tcPr>
          <w:p w14:paraId="2FFD4F4F" w14:textId="77777777" w:rsidR="007B20A4" w:rsidRPr="00D01ACB" w:rsidRDefault="007B20A4" w:rsidP="00FE45C3">
            <w:pPr>
              <w:jc w:val="center"/>
              <w:rPr>
                <w:b/>
                <w:sz w:val="20"/>
                <w:szCs w:val="20"/>
              </w:rPr>
            </w:pPr>
          </w:p>
          <w:p w14:paraId="23D849B1" w14:textId="77777777" w:rsidR="007B20A4" w:rsidRPr="00D01ACB" w:rsidRDefault="007B20A4" w:rsidP="00FE45C3">
            <w:pPr>
              <w:jc w:val="center"/>
              <w:rPr>
                <w:b/>
                <w:sz w:val="20"/>
                <w:szCs w:val="20"/>
              </w:rPr>
            </w:pPr>
            <w:r w:rsidRPr="00D01ACB">
              <w:rPr>
                <w:b/>
                <w:sz w:val="20"/>
                <w:szCs w:val="20"/>
              </w:rPr>
              <w:t>2.5 hours per day</w:t>
            </w:r>
          </w:p>
        </w:tc>
        <w:tc>
          <w:tcPr>
            <w:tcW w:w="1329" w:type="dxa"/>
          </w:tcPr>
          <w:p w14:paraId="3B8FC36C" w14:textId="77777777" w:rsidR="007B20A4" w:rsidRPr="00D01ACB" w:rsidRDefault="007B20A4" w:rsidP="00FE45C3">
            <w:pPr>
              <w:jc w:val="center"/>
              <w:rPr>
                <w:b/>
                <w:sz w:val="20"/>
                <w:szCs w:val="20"/>
              </w:rPr>
            </w:pPr>
          </w:p>
          <w:p w14:paraId="1548E1F3" w14:textId="77777777" w:rsidR="007B20A4" w:rsidRPr="00D01ACB" w:rsidRDefault="007B20A4" w:rsidP="00FE45C3">
            <w:pPr>
              <w:jc w:val="center"/>
              <w:rPr>
                <w:b/>
                <w:sz w:val="20"/>
                <w:szCs w:val="20"/>
              </w:rPr>
            </w:pPr>
            <w:r w:rsidRPr="00D01ACB">
              <w:rPr>
                <w:b/>
                <w:sz w:val="20"/>
                <w:szCs w:val="20"/>
              </w:rPr>
              <w:t>177 days</w:t>
            </w:r>
            <w:r w:rsidR="0085734F" w:rsidRPr="00D01ACB">
              <w:rPr>
                <w:b/>
                <w:sz w:val="20"/>
                <w:szCs w:val="20"/>
              </w:rPr>
              <w:t>**</w:t>
            </w:r>
          </w:p>
        </w:tc>
        <w:tc>
          <w:tcPr>
            <w:tcW w:w="1240" w:type="dxa"/>
          </w:tcPr>
          <w:p w14:paraId="2810E758" w14:textId="77777777" w:rsidR="007B20A4" w:rsidRPr="00D01ACB" w:rsidRDefault="007B20A4" w:rsidP="00FE45C3">
            <w:pPr>
              <w:jc w:val="center"/>
              <w:rPr>
                <w:b/>
                <w:sz w:val="20"/>
                <w:szCs w:val="20"/>
              </w:rPr>
            </w:pPr>
            <w:r w:rsidRPr="00D01ACB">
              <w:rPr>
                <w:b/>
                <w:sz w:val="20"/>
                <w:szCs w:val="20"/>
              </w:rPr>
              <w:t xml:space="preserve"> </w:t>
            </w:r>
          </w:p>
          <w:p w14:paraId="2B87DA0F" w14:textId="77777777" w:rsidR="007B20A4" w:rsidRPr="00D01ACB" w:rsidRDefault="007B20A4" w:rsidP="007B20A4">
            <w:pPr>
              <w:jc w:val="center"/>
              <w:rPr>
                <w:b/>
                <w:sz w:val="20"/>
                <w:szCs w:val="20"/>
              </w:rPr>
            </w:pPr>
            <w:r w:rsidRPr="00D01ACB">
              <w:rPr>
                <w:b/>
                <w:sz w:val="20"/>
                <w:szCs w:val="20"/>
              </w:rPr>
              <w:t>$450 per month</w:t>
            </w:r>
          </w:p>
        </w:tc>
      </w:tr>
      <w:tr w:rsidR="007B20A4" w:rsidRPr="00DD1A92" w14:paraId="4D3DF816" w14:textId="77777777" w:rsidTr="0085734F">
        <w:tc>
          <w:tcPr>
            <w:tcW w:w="1615" w:type="dxa"/>
            <w:shd w:val="clear" w:color="auto" w:fill="D9D9D9" w:themeFill="background1" w:themeFillShade="D9"/>
          </w:tcPr>
          <w:p w14:paraId="4C8FEB6F" w14:textId="77777777" w:rsidR="007B20A4" w:rsidRDefault="007B20A4" w:rsidP="0085734F">
            <w:pPr>
              <w:jc w:val="center"/>
              <w:rPr>
                <w:b/>
                <w:sz w:val="16"/>
                <w:szCs w:val="16"/>
              </w:rPr>
            </w:pPr>
            <w:r w:rsidRPr="00DD1A92">
              <w:rPr>
                <w:sz w:val="20"/>
                <w:szCs w:val="20"/>
              </w:rPr>
              <w:t>EXTENDED</w:t>
            </w:r>
            <w:r w:rsidR="0085734F">
              <w:rPr>
                <w:sz w:val="20"/>
                <w:szCs w:val="20"/>
              </w:rPr>
              <w:t xml:space="preserve"> </w:t>
            </w:r>
            <w:r w:rsidRPr="00DD1A92">
              <w:rPr>
                <w:sz w:val="20"/>
                <w:szCs w:val="20"/>
              </w:rPr>
              <w:t>DAY/FULL YEAR</w:t>
            </w:r>
            <w:r w:rsidR="0085734F">
              <w:rPr>
                <w:sz w:val="20"/>
                <w:szCs w:val="20"/>
              </w:rPr>
              <w:t xml:space="preserve"> </w:t>
            </w:r>
            <w:r w:rsidR="0085734F" w:rsidRPr="0085734F">
              <w:rPr>
                <w:b/>
                <w:sz w:val="16"/>
                <w:szCs w:val="16"/>
              </w:rPr>
              <w:t>Priority Districts only</w:t>
            </w:r>
          </w:p>
          <w:p w14:paraId="4847E341" w14:textId="77777777" w:rsidR="0085734F" w:rsidRPr="0085734F" w:rsidRDefault="0085734F" w:rsidP="0085734F">
            <w:pPr>
              <w:jc w:val="center"/>
              <w:rPr>
                <w:sz w:val="20"/>
                <w:szCs w:val="20"/>
              </w:rPr>
            </w:pPr>
            <w:r w:rsidRPr="0085734F">
              <w:rPr>
                <w:sz w:val="16"/>
                <w:szCs w:val="16"/>
              </w:rPr>
              <w:t>(Wrap Around)</w:t>
            </w:r>
          </w:p>
        </w:tc>
        <w:tc>
          <w:tcPr>
            <w:tcW w:w="1186" w:type="dxa"/>
            <w:shd w:val="clear" w:color="auto" w:fill="D9D9D9" w:themeFill="background1" w:themeFillShade="D9"/>
          </w:tcPr>
          <w:p w14:paraId="08E61DF7" w14:textId="77777777" w:rsidR="007B20A4" w:rsidRPr="00DD1A92" w:rsidRDefault="007B20A4" w:rsidP="00FE45C3">
            <w:pPr>
              <w:jc w:val="center"/>
              <w:rPr>
                <w:sz w:val="20"/>
                <w:szCs w:val="20"/>
              </w:rPr>
            </w:pPr>
          </w:p>
          <w:p w14:paraId="7F184F0A" w14:textId="77777777" w:rsidR="007B20A4" w:rsidRPr="00DD1A92" w:rsidRDefault="0085734F" w:rsidP="00FE45C3">
            <w:pPr>
              <w:jc w:val="center"/>
              <w:rPr>
                <w:sz w:val="20"/>
                <w:szCs w:val="20"/>
              </w:rPr>
            </w:pPr>
            <w:r>
              <w:rPr>
                <w:sz w:val="20"/>
                <w:szCs w:val="20"/>
              </w:rPr>
              <w:t>Extend the day</w:t>
            </w:r>
          </w:p>
        </w:tc>
        <w:tc>
          <w:tcPr>
            <w:tcW w:w="1329" w:type="dxa"/>
            <w:shd w:val="clear" w:color="auto" w:fill="D9D9D9" w:themeFill="background1" w:themeFillShade="D9"/>
          </w:tcPr>
          <w:p w14:paraId="629D2951" w14:textId="77777777" w:rsidR="007B20A4" w:rsidRPr="00DD1A92" w:rsidRDefault="007B20A4" w:rsidP="00FE45C3">
            <w:pPr>
              <w:jc w:val="center"/>
              <w:rPr>
                <w:sz w:val="20"/>
                <w:szCs w:val="20"/>
              </w:rPr>
            </w:pPr>
          </w:p>
          <w:p w14:paraId="4246FDD7" w14:textId="77777777" w:rsidR="007B20A4" w:rsidRPr="00DD1A92" w:rsidRDefault="007B20A4" w:rsidP="00FE45C3">
            <w:pPr>
              <w:jc w:val="center"/>
              <w:rPr>
                <w:sz w:val="20"/>
                <w:szCs w:val="20"/>
              </w:rPr>
            </w:pPr>
            <w:r w:rsidRPr="00DD1A92">
              <w:rPr>
                <w:sz w:val="20"/>
                <w:szCs w:val="20"/>
              </w:rPr>
              <w:t>50 weeks</w:t>
            </w:r>
          </w:p>
        </w:tc>
        <w:tc>
          <w:tcPr>
            <w:tcW w:w="1175" w:type="dxa"/>
            <w:shd w:val="clear" w:color="auto" w:fill="D9D9D9" w:themeFill="background1" w:themeFillShade="D9"/>
          </w:tcPr>
          <w:p w14:paraId="3884ECC9" w14:textId="77777777" w:rsidR="007B20A4" w:rsidRPr="00DD1A92" w:rsidRDefault="007B20A4" w:rsidP="00FE45C3">
            <w:pPr>
              <w:jc w:val="center"/>
              <w:rPr>
                <w:sz w:val="20"/>
                <w:szCs w:val="20"/>
              </w:rPr>
            </w:pPr>
          </w:p>
          <w:p w14:paraId="5E7CA007" w14:textId="77777777" w:rsidR="007B20A4" w:rsidRPr="00DD1A92" w:rsidRDefault="007B20A4" w:rsidP="00FE45C3">
            <w:pPr>
              <w:jc w:val="center"/>
              <w:rPr>
                <w:sz w:val="20"/>
                <w:szCs w:val="20"/>
              </w:rPr>
            </w:pPr>
            <w:r w:rsidRPr="00DD1A92">
              <w:rPr>
                <w:sz w:val="20"/>
                <w:szCs w:val="20"/>
              </w:rPr>
              <w:t>$231 per month</w:t>
            </w:r>
          </w:p>
          <w:p w14:paraId="6E14118B" w14:textId="77777777" w:rsidR="007B20A4" w:rsidRPr="00DD1A92" w:rsidRDefault="007B20A4" w:rsidP="00FE45C3">
            <w:pPr>
              <w:jc w:val="center"/>
              <w:rPr>
                <w:sz w:val="20"/>
                <w:szCs w:val="20"/>
              </w:rPr>
            </w:pPr>
          </w:p>
        </w:tc>
        <w:tc>
          <w:tcPr>
            <w:tcW w:w="1476" w:type="dxa"/>
          </w:tcPr>
          <w:p w14:paraId="12F1FC02" w14:textId="77777777" w:rsidR="007B20A4" w:rsidRPr="00D01ACB" w:rsidRDefault="007B20A4" w:rsidP="00FE45C3">
            <w:pPr>
              <w:jc w:val="center"/>
              <w:rPr>
                <w:b/>
                <w:sz w:val="20"/>
                <w:szCs w:val="20"/>
              </w:rPr>
            </w:pPr>
          </w:p>
          <w:p w14:paraId="685D8B9A" w14:textId="77777777" w:rsidR="007B20A4" w:rsidRPr="00D01ACB" w:rsidRDefault="0085734F" w:rsidP="00FE45C3">
            <w:pPr>
              <w:jc w:val="center"/>
              <w:rPr>
                <w:b/>
                <w:sz w:val="20"/>
                <w:szCs w:val="20"/>
              </w:rPr>
            </w:pPr>
            <w:r w:rsidRPr="00D01ACB">
              <w:rPr>
                <w:b/>
                <w:sz w:val="20"/>
                <w:szCs w:val="20"/>
              </w:rPr>
              <w:t>Extend the day</w:t>
            </w:r>
          </w:p>
        </w:tc>
        <w:tc>
          <w:tcPr>
            <w:tcW w:w="1329" w:type="dxa"/>
          </w:tcPr>
          <w:p w14:paraId="67C17998" w14:textId="77777777" w:rsidR="007B20A4" w:rsidRPr="00D01ACB" w:rsidRDefault="007B20A4" w:rsidP="00FE45C3">
            <w:pPr>
              <w:jc w:val="center"/>
              <w:rPr>
                <w:b/>
                <w:sz w:val="20"/>
                <w:szCs w:val="20"/>
              </w:rPr>
            </w:pPr>
          </w:p>
          <w:p w14:paraId="0462B695" w14:textId="77777777" w:rsidR="007B20A4" w:rsidRPr="00D01ACB" w:rsidRDefault="007B20A4" w:rsidP="00FE45C3">
            <w:pPr>
              <w:jc w:val="center"/>
              <w:rPr>
                <w:b/>
                <w:sz w:val="20"/>
                <w:szCs w:val="20"/>
              </w:rPr>
            </w:pPr>
            <w:r w:rsidRPr="00D01ACB">
              <w:rPr>
                <w:b/>
                <w:sz w:val="20"/>
                <w:szCs w:val="20"/>
              </w:rPr>
              <w:t>41 weeks</w:t>
            </w:r>
            <w:r w:rsidR="0085734F" w:rsidRPr="00D01ACB">
              <w:rPr>
                <w:b/>
                <w:sz w:val="20"/>
                <w:szCs w:val="20"/>
              </w:rPr>
              <w:t>*</w:t>
            </w:r>
          </w:p>
        </w:tc>
        <w:tc>
          <w:tcPr>
            <w:tcW w:w="1240" w:type="dxa"/>
          </w:tcPr>
          <w:p w14:paraId="5A0316FE" w14:textId="77777777" w:rsidR="007B20A4" w:rsidRPr="00D01ACB" w:rsidRDefault="007B20A4" w:rsidP="00FE45C3">
            <w:pPr>
              <w:jc w:val="center"/>
              <w:rPr>
                <w:b/>
                <w:sz w:val="20"/>
                <w:szCs w:val="20"/>
              </w:rPr>
            </w:pPr>
          </w:p>
          <w:p w14:paraId="4395F633" w14:textId="77777777" w:rsidR="007B20A4" w:rsidRPr="00D01ACB" w:rsidRDefault="007B20A4" w:rsidP="00FE45C3">
            <w:pPr>
              <w:jc w:val="center"/>
              <w:rPr>
                <w:b/>
                <w:sz w:val="20"/>
                <w:szCs w:val="20"/>
              </w:rPr>
            </w:pPr>
            <w:r w:rsidRPr="00D01ACB">
              <w:rPr>
                <w:b/>
                <w:sz w:val="20"/>
                <w:szCs w:val="20"/>
              </w:rPr>
              <w:t>$231 per month</w:t>
            </w:r>
          </w:p>
          <w:p w14:paraId="6B12D9E4" w14:textId="77777777" w:rsidR="007B20A4" w:rsidRPr="00D01ACB" w:rsidRDefault="007B20A4" w:rsidP="00FE45C3">
            <w:pPr>
              <w:jc w:val="center"/>
              <w:rPr>
                <w:b/>
                <w:sz w:val="20"/>
                <w:szCs w:val="20"/>
              </w:rPr>
            </w:pPr>
          </w:p>
        </w:tc>
      </w:tr>
    </w:tbl>
    <w:p w14:paraId="5D63525C" w14:textId="77777777" w:rsidR="007B20A4" w:rsidRDefault="007B20A4" w:rsidP="00650312">
      <w:pPr>
        <w:pStyle w:val="NoSpacing"/>
        <w:rPr>
          <w:rFonts w:ascii="Calibri" w:eastAsia="Times New Roman" w:hAnsi="Calibri" w:cs="Calibri"/>
          <w:color w:val="000000"/>
        </w:rPr>
      </w:pPr>
    </w:p>
    <w:p w14:paraId="465B829E" w14:textId="74FD2120" w:rsidR="007B20A4" w:rsidRDefault="00062712" w:rsidP="00062712">
      <w:pPr>
        <w:pStyle w:val="NoSpacing"/>
        <w:rPr>
          <w:rFonts w:ascii="Calibri" w:eastAsia="Times New Roman" w:hAnsi="Calibri" w:cs="Calibri"/>
          <w:color w:val="000000"/>
        </w:rPr>
      </w:pPr>
      <w:r>
        <w:rPr>
          <w:rFonts w:ascii="Calibri" w:eastAsia="Times New Roman" w:hAnsi="Calibri" w:cs="Calibri"/>
          <w:color w:val="000000"/>
        </w:rPr>
        <w:t>*Calculat</w:t>
      </w:r>
      <w:r w:rsidR="00FB1EDF">
        <w:rPr>
          <w:rFonts w:ascii="Calibri" w:eastAsia="Times New Roman" w:hAnsi="Calibri" w:cs="Calibri"/>
          <w:color w:val="000000"/>
        </w:rPr>
        <w:t>ions</w:t>
      </w:r>
      <w:r>
        <w:rPr>
          <w:rFonts w:ascii="Calibri" w:eastAsia="Times New Roman" w:hAnsi="Calibri" w:cs="Calibri"/>
          <w:color w:val="000000"/>
        </w:rPr>
        <w:t xml:space="preserve"> based on FY20 requirement of 50 weeks less 9 weeks funded through COVID-19 Emergency Summer Funding</w:t>
      </w:r>
      <w:r w:rsidR="00E92F5F">
        <w:rPr>
          <w:rFonts w:ascii="Calibri" w:eastAsia="Times New Roman" w:hAnsi="Calibri" w:cs="Calibri"/>
          <w:color w:val="000000"/>
        </w:rPr>
        <w:t>.</w:t>
      </w:r>
    </w:p>
    <w:p w14:paraId="3FAEB027" w14:textId="77777777" w:rsidR="00062712" w:rsidRDefault="00062712" w:rsidP="00062712">
      <w:pPr>
        <w:pStyle w:val="NoSpacing"/>
        <w:rPr>
          <w:rFonts w:ascii="Calibri" w:eastAsia="Times New Roman" w:hAnsi="Calibri" w:cs="Calibri"/>
          <w:color w:val="000000"/>
        </w:rPr>
      </w:pPr>
    </w:p>
    <w:p w14:paraId="2BA8B052" w14:textId="77777777" w:rsidR="00062712" w:rsidRDefault="00062712" w:rsidP="00062712">
      <w:pPr>
        <w:pStyle w:val="NoSpacing"/>
        <w:rPr>
          <w:rFonts w:ascii="Calibri" w:eastAsia="Times New Roman" w:hAnsi="Calibri" w:cs="Calibri"/>
          <w:color w:val="000000"/>
        </w:rPr>
      </w:pPr>
      <w:r>
        <w:rPr>
          <w:rFonts w:ascii="Calibri" w:eastAsia="Times New Roman" w:hAnsi="Calibri" w:cs="Calibri"/>
          <w:color w:val="000000"/>
        </w:rPr>
        <w:t xml:space="preserve">**Aligned with Connecticut State Department of Education modification of 2020-2021 School Year </w:t>
      </w:r>
    </w:p>
    <w:p w14:paraId="0180FFB4" w14:textId="77777777" w:rsidR="00062712" w:rsidRDefault="00062712" w:rsidP="00062712">
      <w:pPr>
        <w:pStyle w:val="NoSpacing"/>
        <w:rPr>
          <w:rFonts w:ascii="Calibri" w:eastAsia="Times New Roman" w:hAnsi="Calibri" w:cs="Calibri"/>
          <w:color w:val="000000"/>
        </w:rPr>
      </w:pPr>
      <w:r>
        <w:rPr>
          <w:rFonts w:ascii="Calibri" w:eastAsia="Times New Roman" w:hAnsi="Calibri" w:cs="Calibri"/>
          <w:color w:val="000000"/>
        </w:rPr>
        <w:t>180-day requirement.</w:t>
      </w:r>
    </w:p>
    <w:p w14:paraId="4CDE3B8F" w14:textId="77777777" w:rsidR="00062712" w:rsidRDefault="00062712" w:rsidP="00062712">
      <w:pPr>
        <w:pStyle w:val="NoSpacing"/>
        <w:rPr>
          <w:rFonts w:ascii="Calibri" w:eastAsia="Times New Roman" w:hAnsi="Calibri" w:cs="Calibri"/>
          <w:color w:val="000000"/>
        </w:rPr>
      </w:pPr>
    </w:p>
    <w:p w14:paraId="049FCC5F" w14:textId="77777777" w:rsidR="00062712" w:rsidRDefault="00062712" w:rsidP="00062712">
      <w:pPr>
        <w:pStyle w:val="NoSpacing"/>
        <w:rPr>
          <w:rFonts w:ascii="Calibri" w:eastAsia="Times New Roman" w:hAnsi="Calibri" w:cs="Calibri"/>
          <w:color w:val="000000"/>
        </w:rPr>
      </w:pPr>
    </w:p>
    <w:p w14:paraId="01701B47" w14:textId="77777777" w:rsidR="007B20A4" w:rsidRDefault="007B20A4" w:rsidP="007B20A4">
      <w:pPr>
        <w:pStyle w:val="NoSpacing"/>
        <w:rPr>
          <w:b/>
          <w:u w:val="single"/>
        </w:rPr>
      </w:pPr>
      <w:r>
        <w:rPr>
          <w:b/>
          <w:u w:val="single"/>
        </w:rPr>
        <w:t>WAIVER APPLICATION FOR VARIATIONS IN DAYS AND WEEKS OF OPERATION</w:t>
      </w:r>
    </w:p>
    <w:p w14:paraId="44D32033" w14:textId="77777777" w:rsidR="007B20A4" w:rsidRDefault="007B20A4" w:rsidP="007B20A4">
      <w:pPr>
        <w:pStyle w:val="NoSpacing"/>
        <w:rPr>
          <w:b/>
          <w:u w:val="single"/>
        </w:rPr>
      </w:pPr>
    </w:p>
    <w:p w14:paraId="72872136" w14:textId="5DF8E3CB" w:rsidR="00650312" w:rsidRDefault="00650312" w:rsidP="00650312">
      <w:pPr>
        <w:pStyle w:val="NoSpacing"/>
        <w:rPr>
          <w:rFonts w:ascii="Calibri" w:eastAsia="Times New Roman" w:hAnsi="Calibri" w:cs="Calibri"/>
          <w:color w:val="000000"/>
        </w:rPr>
      </w:pPr>
      <w:r w:rsidRPr="00946762">
        <w:rPr>
          <w:rFonts w:ascii="Calibri" w:eastAsia="Times New Roman" w:hAnsi="Calibri" w:cs="Calibri"/>
          <w:color w:val="000000"/>
        </w:rPr>
        <w:t xml:space="preserve">A town or </w:t>
      </w:r>
      <w:r w:rsidR="00212AD2">
        <w:rPr>
          <w:rFonts w:ascii="Calibri" w:eastAsia="Times New Roman" w:hAnsi="Calibri" w:cs="Calibri"/>
          <w:color w:val="000000"/>
        </w:rPr>
        <w:t>S</w:t>
      </w:r>
      <w:r w:rsidRPr="00946762">
        <w:rPr>
          <w:rFonts w:ascii="Calibri" w:eastAsia="Times New Roman" w:hAnsi="Calibri" w:cs="Calibri"/>
          <w:color w:val="000000"/>
        </w:rPr>
        <w:t xml:space="preserve">chool </w:t>
      </w:r>
      <w:r w:rsidR="00212AD2">
        <w:rPr>
          <w:rFonts w:ascii="Calibri" w:eastAsia="Times New Roman" w:hAnsi="Calibri" w:cs="Calibri"/>
          <w:color w:val="000000"/>
        </w:rPr>
        <w:t>R</w:t>
      </w:r>
      <w:r w:rsidRPr="00946762">
        <w:rPr>
          <w:rFonts w:ascii="Calibri" w:eastAsia="Times New Roman" w:hAnsi="Calibri" w:cs="Calibri"/>
          <w:color w:val="000000"/>
        </w:rPr>
        <w:t xml:space="preserve">eadiness </w:t>
      </w:r>
      <w:r w:rsidR="00212AD2">
        <w:rPr>
          <w:rFonts w:ascii="Calibri" w:eastAsia="Times New Roman" w:hAnsi="Calibri" w:cs="Calibri"/>
          <w:color w:val="000000"/>
        </w:rPr>
        <w:t>C</w:t>
      </w:r>
      <w:r w:rsidRPr="00946762">
        <w:rPr>
          <w:rFonts w:ascii="Calibri" w:eastAsia="Times New Roman" w:hAnsi="Calibri" w:cs="Calibri"/>
          <w:color w:val="000000"/>
        </w:rPr>
        <w:t xml:space="preserve">ouncil may file </w:t>
      </w:r>
      <w:r w:rsidR="00212AD2">
        <w:rPr>
          <w:rFonts w:ascii="Calibri" w:eastAsia="Times New Roman" w:hAnsi="Calibri" w:cs="Calibri"/>
          <w:color w:val="000000"/>
        </w:rPr>
        <w:t xml:space="preserve">for </w:t>
      </w:r>
      <w:r w:rsidRPr="00946762">
        <w:rPr>
          <w:rFonts w:ascii="Calibri" w:eastAsia="Times New Roman" w:hAnsi="Calibri" w:cs="Calibri"/>
          <w:color w:val="000000"/>
        </w:rPr>
        <w:t xml:space="preserve">a waiver </w:t>
      </w:r>
      <w:r w:rsidR="00212AD2">
        <w:rPr>
          <w:rFonts w:ascii="Calibri" w:eastAsia="Times New Roman" w:hAnsi="Calibri" w:cs="Calibri"/>
          <w:color w:val="000000"/>
        </w:rPr>
        <w:t xml:space="preserve">using </w:t>
      </w:r>
      <w:r w:rsidRPr="00946762">
        <w:rPr>
          <w:rFonts w:ascii="Calibri" w:eastAsia="Times New Roman" w:hAnsi="Calibri" w:cs="Calibri"/>
          <w:color w:val="000000"/>
        </w:rPr>
        <w:t xml:space="preserve">forms provided by the </w:t>
      </w:r>
      <w:r>
        <w:rPr>
          <w:rFonts w:ascii="Calibri" w:eastAsia="Times New Roman" w:hAnsi="Calibri" w:cs="Calibri"/>
          <w:color w:val="000000"/>
        </w:rPr>
        <w:t>OEC</w:t>
      </w:r>
      <w:r w:rsidRPr="00946762">
        <w:rPr>
          <w:rFonts w:ascii="Calibri" w:eastAsia="Times New Roman" w:hAnsi="Calibri" w:cs="Calibri"/>
          <w:color w:val="000000"/>
        </w:rPr>
        <w:t xml:space="preserve"> approval of a</w:t>
      </w:r>
      <w:r w:rsidR="00212AD2">
        <w:rPr>
          <w:rFonts w:ascii="Calibri" w:eastAsia="Times New Roman" w:hAnsi="Calibri" w:cs="Calibri"/>
          <w:color w:val="000000"/>
        </w:rPr>
        <w:t xml:space="preserve">n operating </w:t>
      </w:r>
      <w:r w:rsidRPr="00946762">
        <w:rPr>
          <w:rFonts w:ascii="Calibri" w:eastAsia="Times New Roman" w:hAnsi="Calibri" w:cs="Calibri"/>
          <w:color w:val="000000"/>
        </w:rPr>
        <w:t>schedule that varies from the minimum hours and number of days</w:t>
      </w:r>
      <w:r>
        <w:rPr>
          <w:rFonts w:ascii="Calibri" w:eastAsia="Times New Roman" w:hAnsi="Calibri" w:cs="Calibri"/>
          <w:color w:val="000000"/>
        </w:rPr>
        <w:t xml:space="preserve">.  </w:t>
      </w:r>
    </w:p>
    <w:p w14:paraId="4512145F" w14:textId="77777777" w:rsidR="00650312" w:rsidRDefault="00650312" w:rsidP="00650312">
      <w:pPr>
        <w:pStyle w:val="NoSpacing"/>
        <w:rPr>
          <w:rFonts w:ascii="Calibri" w:eastAsia="Times New Roman" w:hAnsi="Calibri" w:cs="Calibri"/>
          <w:color w:val="000000"/>
        </w:rPr>
      </w:pPr>
    </w:p>
    <w:p w14:paraId="61A44ECF" w14:textId="68ECCDB6" w:rsidR="00650312" w:rsidRDefault="00650312" w:rsidP="00650312">
      <w:pPr>
        <w:pStyle w:val="NoSpacing"/>
        <w:rPr>
          <w:rFonts w:ascii="Calibri" w:eastAsia="Times New Roman" w:hAnsi="Calibri" w:cs="Calibri"/>
          <w:color w:val="000000"/>
        </w:rPr>
      </w:pPr>
      <w:r>
        <w:rPr>
          <w:rFonts w:ascii="Calibri" w:eastAsia="Times New Roman" w:hAnsi="Calibri" w:cs="Calibri"/>
          <w:color w:val="000000"/>
        </w:rPr>
        <w:t xml:space="preserve">The OEC will provide a Waiver Application for each community to complete and upload in the RFP.   Communities shall complete the </w:t>
      </w:r>
      <w:r w:rsidR="00212AD2">
        <w:rPr>
          <w:rFonts w:ascii="Calibri" w:eastAsia="Times New Roman" w:hAnsi="Calibri" w:cs="Calibri"/>
          <w:color w:val="000000"/>
        </w:rPr>
        <w:t xml:space="preserve">waiver </w:t>
      </w:r>
      <w:r>
        <w:rPr>
          <w:rFonts w:ascii="Calibri" w:eastAsia="Times New Roman" w:hAnsi="Calibri" w:cs="Calibri"/>
          <w:color w:val="000000"/>
        </w:rPr>
        <w:t xml:space="preserve">to request a variance in the number of days and weeks programs will operate under the terms of this grant and in response to the COVID-19 pandemic.  </w:t>
      </w:r>
    </w:p>
    <w:p w14:paraId="77705448" w14:textId="77777777" w:rsidR="00650312" w:rsidRDefault="00650312" w:rsidP="00650312">
      <w:pPr>
        <w:pStyle w:val="NoSpacing"/>
        <w:rPr>
          <w:rFonts w:ascii="Calibri" w:eastAsia="Times New Roman" w:hAnsi="Calibri" w:cs="Calibri"/>
          <w:color w:val="000000"/>
        </w:rPr>
      </w:pPr>
    </w:p>
    <w:p w14:paraId="2B5E3C61" w14:textId="5F9CB1D5" w:rsidR="00650312" w:rsidRDefault="00650312" w:rsidP="00650312">
      <w:pPr>
        <w:pStyle w:val="NoSpacing"/>
        <w:rPr>
          <w:rFonts w:ascii="Calibri" w:eastAsia="Times New Roman" w:hAnsi="Calibri" w:cs="Calibri"/>
          <w:color w:val="000000"/>
        </w:rPr>
      </w:pPr>
      <w:r>
        <w:rPr>
          <w:rFonts w:ascii="Calibri" w:eastAsia="Times New Roman" w:hAnsi="Calibri" w:cs="Calibri"/>
          <w:color w:val="000000"/>
        </w:rPr>
        <w:t xml:space="preserve">Specific program requests for variations in operating schedules that do not align with the terms of the waiver provided in the RFP shall be submitted to the Council for approval.  The Council shall forward the request to the OEC for final approval.  These requests shall be submitted under </w:t>
      </w:r>
      <w:r w:rsidR="00212AD2">
        <w:rPr>
          <w:rFonts w:ascii="Calibri" w:eastAsia="Times New Roman" w:hAnsi="Calibri" w:cs="Calibri"/>
          <w:color w:val="000000"/>
        </w:rPr>
        <w:t xml:space="preserve">a </w:t>
      </w:r>
      <w:r>
        <w:rPr>
          <w:rFonts w:ascii="Calibri" w:eastAsia="Times New Roman" w:hAnsi="Calibri" w:cs="Calibri"/>
          <w:color w:val="000000"/>
        </w:rPr>
        <w:t>separate</w:t>
      </w:r>
      <w:r w:rsidR="00212AD2">
        <w:rPr>
          <w:rFonts w:ascii="Calibri" w:eastAsia="Times New Roman" w:hAnsi="Calibri" w:cs="Calibri"/>
          <w:color w:val="000000"/>
        </w:rPr>
        <w:t xml:space="preserve"> request form the RFP</w:t>
      </w:r>
      <w:r>
        <w:rPr>
          <w:rFonts w:ascii="Calibri" w:eastAsia="Times New Roman" w:hAnsi="Calibri" w:cs="Calibri"/>
          <w:color w:val="000000"/>
        </w:rPr>
        <w:t>.</w:t>
      </w:r>
    </w:p>
    <w:p w14:paraId="593F1035" w14:textId="77777777" w:rsidR="00650312" w:rsidRDefault="00650312" w:rsidP="00650312">
      <w:pPr>
        <w:pStyle w:val="NoSpacing"/>
        <w:rPr>
          <w:rFonts w:ascii="Calibri" w:eastAsia="Times New Roman" w:hAnsi="Calibri" w:cs="Calibri"/>
          <w:color w:val="000000"/>
        </w:rPr>
      </w:pPr>
    </w:p>
    <w:p w14:paraId="635D9938" w14:textId="195F15BE" w:rsidR="00650312" w:rsidRPr="00946762" w:rsidRDefault="00650312" w:rsidP="00650312">
      <w:pPr>
        <w:pStyle w:val="NoSpacing"/>
        <w:rPr>
          <w:rFonts w:ascii="Calibri" w:hAnsi="Calibri" w:cs="Calibri"/>
          <w:b/>
          <w:u w:val="single"/>
        </w:rPr>
      </w:pPr>
      <w:r>
        <w:rPr>
          <w:rFonts w:ascii="Calibri" w:eastAsia="Times New Roman" w:hAnsi="Calibri" w:cs="Calibri"/>
          <w:color w:val="000000"/>
        </w:rPr>
        <w:t xml:space="preserve">Programs must ensure changes in operating schedules are reported to </w:t>
      </w:r>
      <w:r w:rsidR="00212AD2">
        <w:rPr>
          <w:rFonts w:ascii="Calibri" w:eastAsia="Times New Roman" w:hAnsi="Calibri" w:cs="Calibri"/>
          <w:color w:val="000000"/>
        </w:rPr>
        <w:t xml:space="preserve">the </w:t>
      </w:r>
      <w:r>
        <w:rPr>
          <w:rFonts w:ascii="Calibri" w:eastAsia="Times New Roman" w:hAnsi="Calibri" w:cs="Calibri"/>
          <w:color w:val="000000"/>
        </w:rPr>
        <w:t xml:space="preserve">OEC licensing </w:t>
      </w:r>
      <w:r w:rsidR="00212AD2">
        <w:rPr>
          <w:rFonts w:ascii="Calibri" w:eastAsia="Times New Roman" w:hAnsi="Calibri" w:cs="Calibri"/>
          <w:color w:val="000000"/>
        </w:rPr>
        <w:t xml:space="preserve">division </w:t>
      </w:r>
      <w:r>
        <w:rPr>
          <w:rFonts w:ascii="Calibri" w:eastAsia="Times New Roman" w:hAnsi="Calibri" w:cs="Calibri"/>
          <w:color w:val="000000"/>
        </w:rPr>
        <w:t>as appropriate and accurately reflected in the Registry.</w:t>
      </w:r>
    </w:p>
    <w:p w14:paraId="18CBDCA0" w14:textId="77777777" w:rsidR="009C4C89" w:rsidRDefault="009C4C89" w:rsidP="00770C0A">
      <w:pPr>
        <w:pStyle w:val="NoSpacing"/>
        <w:rPr>
          <w:u w:val="single"/>
        </w:rPr>
      </w:pPr>
    </w:p>
    <w:p w14:paraId="5FDBB373" w14:textId="77777777" w:rsidR="00E92F5F" w:rsidRPr="005D1E17" w:rsidRDefault="00E92F5F" w:rsidP="00E92F5F">
      <w:pPr>
        <w:pStyle w:val="NoSpacing"/>
        <w:rPr>
          <w:b/>
        </w:rPr>
      </w:pPr>
      <w:r w:rsidRPr="002459A9">
        <w:rPr>
          <w:b/>
          <w:u w:val="single"/>
        </w:rPr>
        <w:t xml:space="preserve">SPACE CONVERSIONS AND </w:t>
      </w:r>
      <w:r>
        <w:rPr>
          <w:b/>
          <w:u w:val="single"/>
        </w:rPr>
        <w:t>SPACE SHIFTS</w:t>
      </w:r>
      <w:r>
        <w:rPr>
          <w:b/>
        </w:rPr>
        <w:t xml:space="preserve">  </w:t>
      </w:r>
    </w:p>
    <w:p w14:paraId="0A802E01" w14:textId="77777777" w:rsidR="00E92F5F" w:rsidRDefault="00E92F5F" w:rsidP="00E92F5F">
      <w:pPr>
        <w:pStyle w:val="NoSpacing"/>
        <w:rPr>
          <w:b/>
          <w:u w:val="single"/>
        </w:rPr>
      </w:pPr>
    </w:p>
    <w:p w14:paraId="72718D10" w14:textId="77777777" w:rsidR="00E92F5F" w:rsidRDefault="00E92F5F" w:rsidP="00E92F5F">
      <w:pPr>
        <w:pStyle w:val="NoSpacing"/>
        <w:numPr>
          <w:ilvl w:val="0"/>
          <w:numId w:val="8"/>
        </w:numPr>
      </w:pPr>
      <w:r w:rsidRPr="00F968D7">
        <w:t>Programs</w:t>
      </w:r>
      <w:r>
        <w:t xml:space="preserve"> with multiple sites</w:t>
      </w:r>
      <w:r w:rsidRPr="00F968D7">
        <w:t xml:space="preserve"> </w:t>
      </w:r>
      <w:r>
        <w:t xml:space="preserve">may submit requests to convert/shift spaces between sites.   </w:t>
      </w:r>
    </w:p>
    <w:p w14:paraId="093DA191" w14:textId="6FD1D9EF" w:rsidR="00E92F5F" w:rsidRDefault="002236D5" w:rsidP="00E92F5F">
      <w:pPr>
        <w:pStyle w:val="NoSpacing"/>
        <w:numPr>
          <w:ilvl w:val="0"/>
          <w:numId w:val="8"/>
        </w:numPr>
      </w:pPr>
      <w:r>
        <w:t>These r</w:t>
      </w:r>
      <w:r w:rsidR="00E92F5F">
        <w:t>equests shall include justification for the change and the month requested for the change to become effective.</w:t>
      </w:r>
    </w:p>
    <w:p w14:paraId="1C6BE9CE" w14:textId="77777777" w:rsidR="00E92F5F" w:rsidRDefault="00E92F5F" w:rsidP="00E92F5F">
      <w:pPr>
        <w:pStyle w:val="NoSpacing"/>
        <w:numPr>
          <w:ilvl w:val="0"/>
          <w:numId w:val="8"/>
        </w:numPr>
      </w:pPr>
      <w:r>
        <w:t>Liaisons shall verify changes are allowable within existing allocations and obtain Council recommendation for approval if required in accordance with Council by-laws.</w:t>
      </w:r>
    </w:p>
    <w:p w14:paraId="72F54B2A" w14:textId="71CE40C2" w:rsidR="00E92F5F" w:rsidRDefault="00E92F5F" w:rsidP="00E92F5F">
      <w:pPr>
        <w:pStyle w:val="NoSpacing"/>
        <w:numPr>
          <w:ilvl w:val="0"/>
          <w:numId w:val="8"/>
        </w:numPr>
      </w:pPr>
      <w:r>
        <w:t xml:space="preserve">Liaisons shall submit space conversion and space requests to the OEC Program Manager no later than the third Friday of the </w:t>
      </w:r>
      <w:r w:rsidR="002236D5">
        <w:t>r</w:t>
      </w:r>
      <w:r>
        <w:t xml:space="preserve">eporting month in order for changes to considered for approval for that reporting period. </w:t>
      </w:r>
    </w:p>
    <w:p w14:paraId="47518776" w14:textId="10973B74" w:rsidR="00E92F5F" w:rsidRPr="00850225" w:rsidRDefault="00E92F5F" w:rsidP="00E92F5F">
      <w:pPr>
        <w:pStyle w:val="NoSpacing"/>
        <w:numPr>
          <w:ilvl w:val="0"/>
          <w:numId w:val="8"/>
        </w:numPr>
        <w:rPr>
          <w:b/>
          <w:u w:val="single"/>
        </w:rPr>
      </w:pPr>
      <w:r>
        <w:t>All requests must be submitted on the Report of Change Form</w:t>
      </w:r>
      <w:r w:rsidR="00AE44A1">
        <w:t xml:space="preserve"> and </w:t>
      </w:r>
      <w:r>
        <w:t>include a written justification for the change and updated space and funding grid.</w:t>
      </w:r>
    </w:p>
    <w:p w14:paraId="1DC6A7CA" w14:textId="076A5492" w:rsidR="00E92F5F" w:rsidRPr="009F15C9" w:rsidRDefault="00E92F5F" w:rsidP="00E92F5F">
      <w:pPr>
        <w:pStyle w:val="NoSpacing"/>
        <w:numPr>
          <w:ilvl w:val="0"/>
          <w:numId w:val="8"/>
        </w:numPr>
        <w:rPr>
          <w:b/>
          <w:u w:val="single"/>
        </w:rPr>
      </w:pPr>
      <w:r w:rsidRPr="009F15C9">
        <w:t xml:space="preserve">Programs submitting requests to convert spaces to Part-Day/Part-Year  for the purpose of implementing alternative learning models must also submit plans for remote </w:t>
      </w:r>
      <w:r w:rsidR="00AE44A1" w:rsidRPr="009F15C9">
        <w:t>or</w:t>
      </w:r>
      <w:r w:rsidRPr="009F15C9">
        <w:t xml:space="preserve"> hybrid learning which shall require a separate approval</w:t>
      </w:r>
      <w:r w:rsidR="00AE44A1" w:rsidRPr="009F15C9">
        <w:t xml:space="preserve"> by the OEC.</w:t>
      </w:r>
    </w:p>
    <w:p w14:paraId="691FB5C4" w14:textId="33F701AC" w:rsidR="00E92F5F" w:rsidRPr="009F15C9" w:rsidRDefault="00E92F5F" w:rsidP="00E92F5F">
      <w:pPr>
        <w:pStyle w:val="NoSpacing"/>
        <w:numPr>
          <w:ilvl w:val="0"/>
          <w:numId w:val="8"/>
        </w:numPr>
        <w:rPr>
          <w:b/>
          <w:u w:val="single"/>
        </w:rPr>
      </w:pPr>
      <w:r w:rsidRPr="009F15C9">
        <w:t xml:space="preserve">Liaisons will be notified of the approval status of </w:t>
      </w:r>
      <w:r w:rsidR="00AE44A1" w:rsidRPr="009F15C9">
        <w:t>requests s</w:t>
      </w:r>
      <w:r w:rsidRPr="009F15C9">
        <w:t xml:space="preserve">pace </w:t>
      </w:r>
      <w:r w:rsidR="00AE44A1" w:rsidRPr="009F15C9">
        <w:t xml:space="preserve">conversions </w:t>
      </w:r>
      <w:r w:rsidRPr="009F15C9">
        <w:t>and space s</w:t>
      </w:r>
      <w:r w:rsidR="00AE44A1" w:rsidRPr="009F15C9">
        <w:t>hifts.</w:t>
      </w:r>
    </w:p>
    <w:p w14:paraId="008D01B0" w14:textId="04B63E1C" w:rsidR="00E92F5F" w:rsidRPr="009F15C9" w:rsidRDefault="00E92F5F" w:rsidP="00E92F5F">
      <w:pPr>
        <w:pStyle w:val="NoSpacing"/>
        <w:numPr>
          <w:ilvl w:val="0"/>
          <w:numId w:val="8"/>
        </w:numPr>
        <w:rPr>
          <w:b/>
          <w:u w:val="single"/>
        </w:rPr>
      </w:pPr>
      <w:r w:rsidRPr="009F15C9">
        <w:t>Program and Community Monthly Report templates shall be modified to reflect the approved changes and provided to Liaisons for the month</w:t>
      </w:r>
      <w:r w:rsidR="009F15C9" w:rsidRPr="00EC6CDB">
        <w:t xml:space="preserve"> changes are effective.</w:t>
      </w:r>
    </w:p>
    <w:p w14:paraId="3C867C7A" w14:textId="732D62C6" w:rsidR="00E92F5F" w:rsidRPr="009F15C9" w:rsidRDefault="00E92F5F" w:rsidP="00E92F5F">
      <w:pPr>
        <w:pStyle w:val="NoSpacing"/>
        <w:numPr>
          <w:ilvl w:val="0"/>
          <w:numId w:val="8"/>
        </w:numPr>
        <w:rPr>
          <w:b/>
          <w:u w:val="single"/>
        </w:rPr>
      </w:pPr>
      <w:r w:rsidRPr="009F15C9">
        <w:t>Councils w</w:t>
      </w:r>
      <w:r w:rsidR="00AE44A1" w:rsidRPr="009F15C9">
        <w:t xml:space="preserve">anting </w:t>
      </w:r>
      <w:r w:rsidRPr="009F15C9">
        <w:t>to shift</w:t>
      </w:r>
      <w:r w:rsidR="00AE44A1" w:rsidRPr="009F15C9">
        <w:t xml:space="preserve"> </w:t>
      </w:r>
      <w:r w:rsidRPr="009F15C9">
        <w:t>spaces between programs in the community shall submit recommendations to the OEC for approval prior to implementing the change</w:t>
      </w:r>
      <w:r w:rsidR="00AE44A1" w:rsidRPr="009F15C9">
        <w:t xml:space="preserve"> and</w:t>
      </w:r>
      <w:r w:rsidRPr="009F15C9">
        <w:t xml:space="preserve"> shall include a justification for the shift in spaces between programs.</w:t>
      </w:r>
    </w:p>
    <w:p w14:paraId="0E622F5D" w14:textId="77777777" w:rsidR="00E92F5F" w:rsidRDefault="00E92F5F" w:rsidP="00770C0A">
      <w:pPr>
        <w:pStyle w:val="NoSpacing"/>
        <w:rPr>
          <w:b/>
          <w:u w:val="single"/>
        </w:rPr>
      </w:pPr>
    </w:p>
    <w:p w14:paraId="67BFB5F6" w14:textId="77777777" w:rsidR="00E92F5F" w:rsidRDefault="00E92F5F" w:rsidP="00770C0A">
      <w:pPr>
        <w:pStyle w:val="NoSpacing"/>
        <w:rPr>
          <w:b/>
          <w:u w:val="single"/>
        </w:rPr>
      </w:pPr>
    </w:p>
    <w:p w14:paraId="40B47A87" w14:textId="77777777" w:rsidR="001060BF" w:rsidRDefault="00770C0A" w:rsidP="00770C0A">
      <w:pPr>
        <w:pStyle w:val="NoSpacing"/>
        <w:rPr>
          <w:b/>
          <w:u w:val="single"/>
        </w:rPr>
      </w:pPr>
      <w:r w:rsidRPr="00770C0A">
        <w:rPr>
          <w:b/>
          <w:u w:val="single"/>
        </w:rPr>
        <w:t>PART</w:t>
      </w:r>
      <w:r w:rsidR="00F34CBF">
        <w:rPr>
          <w:b/>
          <w:u w:val="single"/>
        </w:rPr>
        <w:t>-</w:t>
      </w:r>
      <w:r w:rsidRPr="00770C0A">
        <w:rPr>
          <w:b/>
          <w:u w:val="single"/>
        </w:rPr>
        <w:t>DAY/PART</w:t>
      </w:r>
      <w:r w:rsidR="00F34CBF">
        <w:rPr>
          <w:b/>
          <w:u w:val="single"/>
        </w:rPr>
        <w:t>-</w:t>
      </w:r>
      <w:r w:rsidRPr="00770C0A">
        <w:rPr>
          <w:b/>
          <w:u w:val="single"/>
        </w:rPr>
        <w:t xml:space="preserve">YEAR SPACE </w:t>
      </w:r>
      <w:r w:rsidR="002F6A4E">
        <w:rPr>
          <w:b/>
          <w:u w:val="single"/>
        </w:rPr>
        <w:t xml:space="preserve">ALTERNATIVE MODELS </w:t>
      </w:r>
      <w:r w:rsidR="00A00834">
        <w:rPr>
          <w:b/>
          <w:u w:val="single"/>
        </w:rPr>
        <w:t>FOR LEARNING</w:t>
      </w:r>
    </w:p>
    <w:p w14:paraId="66CD76EA" w14:textId="77777777" w:rsidR="002F6A4E" w:rsidRDefault="002F6A4E" w:rsidP="00770C0A">
      <w:pPr>
        <w:pStyle w:val="NoSpacing"/>
        <w:rPr>
          <w:b/>
          <w:u w:val="single"/>
        </w:rPr>
      </w:pPr>
    </w:p>
    <w:p w14:paraId="7357E218" w14:textId="1308FF58" w:rsidR="00BF6052" w:rsidRPr="00256677" w:rsidRDefault="009145AE" w:rsidP="003E089A">
      <w:pPr>
        <w:pStyle w:val="NoSpacing"/>
      </w:pPr>
      <w:r>
        <w:t>O</w:t>
      </w:r>
      <w:r w:rsidR="001060BF" w:rsidRPr="00256677">
        <w:t>n-site services should be provided whenever possible.</w:t>
      </w:r>
      <w:r w:rsidR="003E089A" w:rsidRPr="00256677">
        <w:t xml:space="preserve">  If </w:t>
      </w:r>
      <w:r w:rsidR="00EE5B38" w:rsidRPr="00256677">
        <w:t xml:space="preserve">at any time during the grant period </w:t>
      </w:r>
      <w:r w:rsidR="003E089A" w:rsidRPr="00256677">
        <w:t xml:space="preserve">on-site services </w:t>
      </w:r>
      <w:r>
        <w:t>are</w:t>
      </w:r>
      <w:r w:rsidR="003E089A" w:rsidRPr="00256677">
        <w:t xml:space="preserve"> not possible</w:t>
      </w:r>
      <w:r w:rsidR="0009193B" w:rsidRPr="00256677">
        <w:t xml:space="preserve"> </w:t>
      </w:r>
      <w:r w:rsidR="00BF6052" w:rsidRPr="00256677">
        <w:t xml:space="preserve">for </w:t>
      </w:r>
      <w:r w:rsidR="0009193B" w:rsidRPr="00256677">
        <w:t>reasons including</w:t>
      </w:r>
      <w:r>
        <w:t>,</w:t>
      </w:r>
      <w:r w:rsidR="0009193B" w:rsidRPr="00256677">
        <w:t xml:space="preserve"> but not limited to</w:t>
      </w:r>
      <w:r>
        <w:t>,</w:t>
      </w:r>
      <w:r w:rsidR="0009193B" w:rsidRPr="00256677">
        <w:t xml:space="preserve"> local health guidance </w:t>
      </w:r>
      <w:r w:rsidR="00EF6D39" w:rsidRPr="00256677">
        <w:t>or</w:t>
      </w:r>
      <w:r w:rsidR="0009193B" w:rsidRPr="00256677">
        <w:t xml:space="preserve"> facility closures</w:t>
      </w:r>
      <w:r w:rsidR="00D01ACB">
        <w:t xml:space="preserve"> due to COVID-19</w:t>
      </w:r>
      <w:r w:rsidR="00BF6052" w:rsidRPr="00256677">
        <w:t>,</w:t>
      </w:r>
      <w:r w:rsidR="003E089A" w:rsidRPr="00256677">
        <w:t xml:space="preserve"> programs may request </w:t>
      </w:r>
      <w:r w:rsidR="0009193B" w:rsidRPr="00256677">
        <w:t xml:space="preserve">to implement alternative models for </w:t>
      </w:r>
      <w:r w:rsidR="00BF6052" w:rsidRPr="00256677">
        <w:t xml:space="preserve">Remote </w:t>
      </w:r>
      <w:r>
        <w:t xml:space="preserve">or </w:t>
      </w:r>
      <w:r w:rsidR="00BF6052" w:rsidRPr="00256677">
        <w:t>Hybrid Learning utilizing part-day/part year spaces</w:t>
      </w:r>
      <w:r w:rsidR="0009193B" w:rsidRPr="00256677">
        <w:t xml:space="preserve">. </w:t>
      </w:r>
    </w:p>
    <w:p w14:paraId="0D89B2ED" w14:textId="77777777" w:rsidR="00BF6052" w:rsidRPr="00256677" w:rsidRDefault="00BF6052" w:rsidP="003E089A">
      <w:pPr>
        <w:pStyle w:val="NoSpacing"/>
      </w:pPr>
    </w:p>
    <w:p w14:paraId="76A1D97A" w14:textId="710C96CA" w:rsidR="00757308" w:rsidRPr="00256677" w:rsidRDefault="00EF6D39" w:rsidP="003E089A">
      <w:pPr>
        <w:pStyle w:val="NoSpacing"/>
      </w:pPr>
      <w:r w:rsidRPr="00256677">
        <w:t>Requests</w:t>
      </w:r>
      <w:r w:rsidR="00757308" w:rsidRPr="00256677">
        <w:t xml:space="preserve"> to</w:t>
      </w:r>
      <w:r w:rsidR="00BF6052" w:rsidRPr="00256677">
        <w:t xml:space="preserve"> implement</w:t>
      </w:r>
      <w:r w:rsidR="0009193B" w:rsidRPr="00256677">
        <w:t xml:space="preserve"> </w:t>
      </w:r>
      <w:r w:rsidR="00A97FB6" w:rsidRPr="00256677">
        <w:t>Remote and Hybrid Learning</w:t>
      </w:r>
      <w:r w:rsidR="00BF6052" w:rsidRPr="00256677">
        <w:t xml:space="preserve"> models </w:t>
      </w:r>
      <w:r w:rsidR="00A97FB6" w:rsidRPr="00256677">
        <w:t>shall</w:t>
      </w:r>
      <w:r w:rsidR="00757308" w:rsidRPr="00256677">
        <w:t xml:space="preserve"> </w:t>
      </w:r>
      <w:r w:rsidR="00A97FB6" w:rsidRPr="00256677">
        <w:t xml:space="preserve">include a justification </w:t>
      </w:r>
      <w:r w:rsidR="00256677" w:rsidRPr="00256677">
        <w:t xml:space="preserve">explaining </w:t>
      </w:r>
      <w:r w:rsidR="009145AE">
        <w:t>why</w:t>
      </w:r>
      <w:r w:rsidRPr="00256677">
        <w:t xml:space="preserve"> on-site services </w:t>
      </w:r>
      <w:r w:rsidR="009145AE">
        <w:t xml:space="preserve">are </w:t>
      </w:r>
      <w:r w:rsidRPr="00256677">
        <w:t>not possible,</w:t>
      </w:r>
      <w:r w:rsidR="00A97FB6" w:rsidRPr="00256677">
        <w:t xml:space="preserve"> a plan </w:t>
      </w:r>
      <w:r w:rsidRPr="00256677">
        <w:t>detailing</w:t>
      </w:r>
      <w:r w:rsidR="00A97FB6" w:rsidRPr="00256677">
        <w:t xml:space="preserve"> how the model</w:t>
      </w:r>
      <w:r w:rsidRPr="00256677">
        <w:t>(</w:t>
      </w:r>
      <w:r w:rsidR="00A97FB6" w:rsidRPr="00256677">
        <w:t>s</w:t>
      </w:r>
      <w:r w:rsidRPr="00256677">
        <w:t>)</w:t>
      </w:r>
      <w:r w:rsidR="00A97FB6" w:rsidRPr="00256677">
        <w:t xml:space="preserve"> will be implemented</w:t>
      </w:r>
      <w:r w:rsidR="00127DB4">
        <w:t>; staff training and/or qualifications to ensure effective delivery of remote learning family engagement activities</w:t>
      </w:r>
      <w:r w:rsidR="001F2037">
        <w:t>,</w:t>
      </w:r>
      <w:r w:rsidR="00A97FB6" w:rsidRPr="00256677">
        <w:t xml:space="preserve"> and the anticipated date of implementation. </w:t>
      </w:r>
      <w:r w:rsidR="00F40BD3" w:rsidRPr="00256677">
        <w:t xml:space="preserve">This information shall be submitted to the Liaison </w:t>
      </w:r>
      <w:r w:rsidR="00EE5B38" w:rsidRPr="00256677">
        <w:t>for Council review. C</w:t>
      </w:r>
      <w:r w:rsidR="00A97FB6" w:rsidRPr="00256677">
        <w:t>ouncil</w:t>
      </w:r>
      <w:r w:rsidR="00EE5B38" w:rsidRPr="00256677">
        <w:t>s</w:t>
      </w:r>
      <w:r w:rsidR="00A97FB6" w:rsidRPr="00256677">
        <w:t xml:space="preserve"> shall </w:t>
      </w:r>
      <w:r w:rsidR="00F40BD3" w:rsidRPr="00256677">
        <w:t xml:space="preserve">develop a review </w:t>
      </w:r>
      <w:r w:rsidR="001F2037" w:rsidRPr="00256677">
        <w:t xml:space="preserve">process </w:t>
      </w:r>
      <w:r w:rsidR="00EE5B38" w:rsidRPr="00256677">
        <w:t xml:space="preserve">that may include </w:t>
      </w:r>
      <w:r w:rsidRPr="00256677">
        <w:t xml:space="preserve">review </w:t>
      </w:r>
      <w:r w:rsidR="00256677" w:rsidRPr="00256677">
        <w:t>by</w:t>
      </w:r>
      <w:r w:rsidRPr="00256677">
        <w:t xml:space="preserve"> the </w:t>
      </w:r>
      <w:r w:rsidR="00EE5B38" w:rsidRPr="00256677">
        <w:t xml:space="preserve">full Council or </w:t>
      </w:r>
      <w:r w:rsidRPr="00256677">
        <w:t xml:space="preserve">a </w:t>
      </w:r>
      <w:r w:rsidR="00EE5B38" w:rsidRPr="00256677">
        <w:t xml:space="preserve">cohort of Council members holding the knowledge and skills to effectively evaluate </w:t>
      </w:r>
      <w:r w:rsidR="00F40BD3" w:rsidRPr="00256677">
        <w:t xml:space="preserve">of Distance and Hybrid Learning requests.  </w:t>
      </w:r>
      <w:r w:rsidR="000F615E">
        <w:t xml:space="preserve">Councils shall submit recommendations </w:t>
      </w:r>
      <w:r w:rsidR="00256677" w:rsidRPr="00256677">
        <w:t xml:space="preserve">to the OEC for final review and </w:t>
      </w:r>
      <w:r w:rsidR="00F40BD3" w:rsidRPr="00256677">
        <w:t>approval</w:t>
      </w:r>
      <w:r w:rsidR="000F615E">
        <w:t>.</w:t>
      </w:r>
      <w:r w:rsidR="00256677" w:rsidRPr="00256677">
        <w:t xml:space="preserve"> </w:t>
      </w:r>
      <w:r w:rsidR="00757308" w:rsidRPr="00256677">
        <w:t xml:space="preserve">A </w:t>
      </w:r>
      <w:r w:rsidR="00256677" w:rsidRPr="00256677">
        <w:t xml:space="preserve">request and planning form </w:t>
      </w:r>
      <w:r w:rsidR="000F615E">
        <w:t xml:space="preserve">shall be available </w:t>
      </w:r>
      <w:r w:rsidR="00757308" w:rsidRPr="00256677">
        <w:t xml:space="preserve">for submitting </w:t>
      </w:r>
      <w:r w:rsidR="003E089A" w:rsidRPr="00256677">
        <w:t xml:space="preserve">these </w:t>
      </w:r>
      <w:r w:rsidR="00757308" w:rsidRPr="00256677">
        <w:t>plans</w:t>
      </w:r>
      <w:r w:rsidR="000F615E">
        <w:t>.</w:t>
      </w:r>
      <w:r w:rsidR="00757308" w:rsidRPr="00256677">
        <w:t xml:space="preserve"> </w:t>
      </w:r>
      <w:r w:rsidR="00256677" w:rsidRPr="00256677">
        <w:t>Plan</w:t>
      </w:r>
      <w:r w:rsidR="00AF19D2">
        <w:t>s</w:t>
      </w:r>
      <w:r w:rsidR="00256677" w:rsidRPr="00256677">
        <w:t xml:space="preserve"> shall</w:t>
      </w:r>
      <w:r w:rsidR="00757308" w:rsidRPr="00256677">
        <w:t xml:space="preserve"> include </w:t>
      </w:r>
      <w:r w:rsidR="00256677" w:rsidRPr="00256677">
        <w:t>the following details f</w:t>
      </w:r>
      <w:r w:rsidR="00757308" w:rsidRPr="00256677">
        <w:t xml:space="preserve">or each of the following models: </w:t>
      </w:r>
    </w:p>
    <w:p w14:paraId="3A21240B" w14:textId="77777777" w:rsidR="00757308" w:rsidRPr="0004560E" w:rsidRDefault="00757308" w:rsidP="00F34CBF">
      <w:pPr>
        <w:pStyle w:val="ListParagraph"/>
        <w:ind w:left="1440"/>
        <w:rPr>
          <w:highlight w:val="yellow"/>
        </w:rPr>
      </w:pPr>
    </w:p>
    <w:p w14:paraId="24708441" w14:textId="77777777" w:rsidR="00757308" w:rsidRPr="00D01ACB" w:rsidRDefault="00757308" w:rsidP="00757308">
      <w:pPr>
        <w:pStyle w:val="ListParagraph"/>
        <w:numPr>
          <w:ilvl w:val="0"/>
          <w:numId w:val="21"/>
        </w:numPr>
      </w:pPr>
      <w:r w:rsidRPr="00D01ACB">
        <w:rPr>
          <w:b/>
        </w:rPr>
        <w:t xml:space="preserve">Hybrid Model:  </w:t>
      </w:r>
      <w:r w:rsidRPr="00D01ACB">
        <w:t>Hybrid model</w:t>
      </w:r>
      <w:r w:rsidR="00256677" w:rsidRPr="00D01ACB">
        <w:t xml:space="preserve">s include a combination of both on-site and </w:t>
      </w:r>
      <w:r w:rsidRPr="00D01ACB">
        <w:t>remote learning</w:t>
      </w:r>
      <w:r w:rsidR="00256677" w:rsidRPr="00D01ACB">
        <w:t xml:space="preserve">.  This </w:t>
      </w:r>
      <w:r w:rsidR="00D01ACB" w:rsidRPr="00D01ACB">
        <w:t>models may</w:t>
      </w:r>
      <w:r w:rsidRPr="00D01ACB">
        <w:t xml:space="preserve"> be implemented when there is a need to reduce group size to prevent the spread of COVID-19.  The plan </w:t>
      </w:r>
      <w:r w:rsidR="00256677" w:rsidRPr="00D01ACB">
        <w:t xml:space="preserve">for Hybrid Learning </w:t>
      </w:r>
      <w:r w:rsidRPr="00D01ACB">
        <w:t>must include:</w:t>
      </w:r>
      <w:r w:rsidRPr="00D01ACB">
        <w:rPr>
          <w:b/>
        </w:rPr>
        <w:t xml:space="preserve"> </w:t>
      </w:r>
    </w:p>
    <w:p w14:paraId="0B8E6551" w14:textId="77777777" w:rsidR="00256677" w:rsidRPr="00D01ACB" w:rsidRDefault="00256677" w:rsidP="00256677">
      <w:pPr>
        <w:pStyle w:val="ListParagraph"/>
      </w:pPr>
    </w:p>
    <w:p w14:paraId="19EA0B9C" w14:textId="2974D113" w:rsidR="000F615E" w:rsidRPr="000F615E" w:rsidRDefault="00757308" w:rsidP="002469EF">
      <w:pPr>
        <w:pStyle w:val="ListParagraph"/>
        <w:numPr>
          <w:ilvl w:val="1"/>
          <w:numId w:val="21"/>
        </w:numPr>
        <w:rPr>
          <w:b/>
        </w:rPr>
      </w:pPr>
      <w:r w:rsidRPr="00D01ACB">
        <w:t xml:space="preserve">A rationale for implementing this model </w:t>
      </w:r>
      <w:r w:rsidR="00D01ACB" w:rsidRPr="00D01ACB">
        <w:t>over five</w:t>
      </w:r>
      <w:r w:rsidR="000F615E">
        <w:t>-</w:t>
      </w:r>
      <w:r w:rsidR="00D01ACB" w:rsidRPr="00D01ACB">
        <w:t>day per week i</w:t>
      </w:r>
      <w:r w:rsidRPr="00D01ACB">
        <w:t>n-person learnin</w:t>
      </w:r>
      <w:r w:rsidR="000F615E">
        <w:t>g</w:t>
      </w:r>
    </w:p>
    <w:p w14:paraId="3EC91DA8" w14:textId="1E6B6AB9" w:rsidR="00757308" w:rsidRPr="000F615E" w:rsidRDefault="000F615E" w:rsidP="002469EF">
      <w:pPr>
        <w:pStyle w:val="ListParagraph"/>
        <w:numPr>
          <w:ilvl w:val="1"/>
          <w:numId w:val="21"/>
        </w:numPr>
        <w:rPr>
          <w:b/>
        </w:rPr>
      </w:pPr>
      <w:r>
        <w:t>D</w:t>
      </w:r>
      <w:r w:rsidR="00757308" w:rsidRPr="00D01ACB">
        <w:t xml:space="preserve">etails </w:t>
      </w:r>
      <w:r w:rsidR="00127DB4" w:rsidRPr="00D01ACB">
        <w:t xml:space="preserve">describing </w:t>
      </w:r>
      <w:r w:rsidR="00757308" w:rsidRPr="00D01ACB">
        <w:t xml:space="preserve">the remote learning component of the Hybrid model, including communication/activities with children, remote conferencing with families, planning time and professional learning related to distance learning. </w:t>
      </w:r>
    </w:p>
    <w:p w14:paraId="44839D95" w14:textId="77777777" w:rsidR="00757308" w:rsidRPr="00D01ACB" w:rsidRDefault="00757308" w:rsidP="00757308">
      <w:pPr>
        <w:pStyle w:val="ListParagraph"/>
        <w:numPr>
          <w:ilvl w:val="1"/>
          <w:numId w:val="21"/>
        </w:numPr>
      </w:pPr>
      <w:r w:rsidRPr="00D01ACB">
        <w:t>How participation in remote learning portion of this model will be tracked.</w:t>
      </w:r>
    </w:p>
    <w:p w14:paraId="08413805" w14:textId="77777777" w:rsidR="00127DB4" w:rsidRPr="00D01ACB" w:rsidRDefault="00127DB4" w:rsidP="00757308">
      <w:pPr>
        <w:pStyle w:val="ListParagraph"/>
        <w:numPr>
          <w:ilvl w:val="1"/>
          <w:numId w:val="21"/>
        </w:numPr>
      </w:pPr>
      <w:r w:rsidRPr="00D01ACB">
        <w:t>Qualifications/training of the staff delivering the remote learning component.</w:t>
      </w:r>
    </w:p>
    <w:p w14:paraId="490ED7F4" w14:textId="77777777" w:rsidR="00F34CBF" w:rsidRPr="00D01ACB" w:rsidRDefault="00F34CBF" w:rsidP="00F34CBF">
      <w:pPr>
        <w:pStyle w:val="ListParagraph"/>
        <w:ind w:left="1440"/>
      </w:pPr>
    </w:p>
    <w:p w14:paraId="597F9810" w14:textId="77777777" w:rsidR="00757308" w:rsidRPr="00D01ACB" w:rsidRDefault="00757308" w:rsidP="00757308">
      <w:pPr>
        <w:pStyle w:val="ListParagraph"/>
        <w:numPr>
          <w:ilvl w:val="0"/>
          <w:numId w:val="21"/>
        </w:numPr>
        <w:rPr>
          <w:b/>
        </w:rPr>
      </w:pPr>
      <w:r w:rsidRPr="00D01ACB">
        <w:rPr>
          <w:b/>
        </w:rPr>
        <w:t xml:space="preserve">Remote Learning:  </w:t>
      </w:r>
      <w:r w:rsidRPr="00D01ACB">
        <w:t xml:space="preserve">Remote learning is defined as situations where students and </w:t>
      </w:r>
      <w:r w:rsidR="00127DB4" w:rsidRPr="00D01ACB">
        <w:t>teachers</w:t>
      </w:r>
      <w:r w:rsidRPr="00D01ACB">
        <w:t xml:space="preserve"> are not physically present in a classroom environment</w:t>
      </w:r>
      <w:r w:rsidR="00127DB4" w:rsidRPr="00D01ACB">
        <w:t>.  Remote learning shoul</w:t>
      </w:r>
      <w:r w:rsidRPr="00D01ACB">
        <w:t>d be implemented when there is a need for a school/program to remain closed for any period of time to prevent the spread of COVID-19. Plans must include:</w:t>
      </w:r>
      <w:r w:rsidRPr="00D01ACB">
        <w:rPr>
          <w:b/>
        </w:rPr>
        <w:t xml:space="preserve"> </w:t>
      </w:r>
    </w:p>
    <w:p w14:paraId="127BBE56" w14:textId="01FDF72E" w:rsidR="00757308" w:rsidRPr="0057139A" w:rsidRDefault="00757308">
      <w:pPr>
        <w:pStyle w:val="ListParagraph"/>
        <w:numPr>
          <w:ilvl w:val="1"/>
          <w:numId w:val="21"/>
        </w:numPr>
        <w:rPr>
          <w:b/>
        </w:rPr>
      </w:pPr>
      <w:r w:rsidRPr="00D01ACB">
        <w:t xml:space="preserve">A rationale for implementing this model over in-person learning Details </w:t>
      </w:r>
      <w:r w:rsidR="00D01ACB" w:rsidRPr="00D01ACB">
        <w:t xml:space="preserve">describing </w:t>
      </w:r>
      <w:r w:rsidRPr="00D01ACB">
        <w:t xml:space="preserve">the remote learning opportunities including: communication/activities with children, remote conferencing with families, planning time and professional learning related to distance learning. </w:t>
      </w:r>
    </w:p>
    <w:p w14:paraId="3041A14A" w14:textId="77777777" w:rsidR="00127DB4" w:rsidRPr="00D01ACB" w:rsidRDefault="00127DB4" w:rsidP="00757308">
      <w:pPr>
        <w:pStyle w:val="ListParagraph"/>
        <w:numPr>
          <w:ilvl w:val="1"/>
          <w:numId w:val="21"/>
        </w:numPr>
        <w:rPr>
          <w:b/>
        </w:rPr>
      </w:pPr>
      <w:r w:rsidRPr="00D01ACB">
        <w:t>Qualifications/training of the staff delivering the remote learning component</w:t>
      </w:r>
    </w:p>
    <w:p w14:paraId="761BACAC" w14:textId="07004A0D" w:rsidR="005D1E17" w:rsidRDefault="005D1E17" w:rsidP="00EC6CDB">
      <w:r w:rsidRPr="00D01ACB">
        <w:t xml:space="preserve">Programs implementing these models will be required to meet additional </w:t>
      </w:r>
      <w:r w:rsidR="00D01ACB">
        <w:t xml:space="preserve">monthly </w:t>
      </w:r>
      <w:r w:rsidRPr="00D01ACB">
        <w:t>reporting requirements.</w:t>
      </w:r>
    </w:p>
    <w:p w14:paraId="1EBC2791" w14:textId="77777777" w:rsidR="00E92F5F" w:rsidRDefault="00E92F5F" w:rsidP="00770C0A">
      <w:pPr>
        <w:pStyle w:val="NoSpacing"/>
        <w:rPr>
          <w:b/>
          <w:u w:val="single"/>
        </w:rPr>
      </w:pPr>
    </w:p>
    <w:p w14:paraId="33469A80" w14:textId="77777777" w:rsidR="00E92F5F" w:rsidRPr="00B13294" w:rsidRDefault="00E92F5F" w:rsidP="00E92F5F">
      <w:pPr>
        <w:pStyle w:val="NoSpacing"/>
        <w:rPr>
          <w:b/>
          <w:u w:val="single"/>
        </w:rPr>
      </w:pPr>
      <w:r w:rsidRPr="00B13294">
        <w:rPr>
          <w:b/>
          <w:u w:val="single"/>
        </w:rPr>
        <w:t>MONITORING</w:t>
      </w:r>
    </w:p>
    <w:p w14:paraId="36A1FC83" w14:textId="08261D72" w:rsidR="00E92F5F" w:rsidRDefault="00E92F5F" w:rsidP="00E92F5F">
      <w:pPr>
        <w:pStyle w:val="NoSpacing"/>
        <w:rPr>
          <w:u w:val="single"/>
        </w:rPr>
      </w:pPr>
    </w:p>
    <w:p w14:paraId="62A250EF" w14:textId="374EF75B" w:rsidR="002914FA" w:rsidRPr="002914FA" w:rsidRDefault="002914FA" w:rsidP="00E92F5F">
      <w:pPr>
        <w:pStyle w:val="NoSpacing"/>
      </w:pPr>
      <w:r>
        <w:t xml:space="preserve">Councils shall ensure Liaisons implement a </w:t>
      </w:r>
      <w:r w:rsidRPr="002914FA">
        <w:t>robust system for regular fiscal and program monitoring of sub-grantees that includes general data</w:t>
      </w:r>
      <w:r>
        <w:t xml:space="preserve"> </w:t>
      </w:r>
      <w:r w:rsidRPr="002914FA">
        <w:t>about the 11 quality components, NAEYC Accreditation/Head Start approval, and general program requirements including review of licensing and health and safety inspections, alignment of curriculum and assessment to the CT-ELDS and implementation of the sliding fee scale required by the OEC</w:t>
      </w:r>
      <w:r w:rsidR="007A5F67">
        <w:t xml:space="preserve"> and includes </w:t>
      </w:r>
      <w:r w:rsidRPr="002914FA">
        <w:t xml:space="preserve">at least quarterly </w:t>
      </w:r>
      <w:r w:rsidR="007A5F67">
        <w:t xml:space="preserve">checks of the Registry </w:t>
      </w:r>
      <w:r w:rsidRPr="002914FA">
        <w:t xml:space="preserve">to check staffing and </w:t>
      </w:r>
      <w:r w:rsidR="007A5F67">
        <w:t>to ensure reporting requirements are met.</w:t>
      </w:r>
    </w:p>
    <w:p w14:paraId="00E964F1" w14:textId="77777777" w:rsidR="002914FA" w:rsidRPr="002914FA" w:rsidRDefault="002914FA" w:rsidP="00E92F5F">
      <w:pPr>
        <w:pStyle w:val="NoSpacing"/>
      </w:pPr>
    </w:p>
    <w:p w14:paraId="7F610986" w14:textId="77777777" w:rsidR="00E92F5F" w:rsidRDefault="00E92F5F" w:rsidP="00E92F5F">
      <w:pPr>
        <w:pStyle w:val="NoSpacing"/>
        <w:rPr>
          <w:b/>
        </w:rPr>
      </w:pPr>
      <w:r w:rsidRPr="00F06441">
        <w:rPr>
          <w:b/>
        </w:rPr>
        <w:t>Off-site monitoring</w:t>
      </w:r>
    </w:p>
    <w:p w14:paraId="48B75503" w14:textId="50FA9A5B" w:rsidR="00E933F6" w:rsidRDefault="00E92F5F" w:rsidP="00E92F5F">
      <w:pPr>
        <w:pStyle w:val="NoSpacing"/>
      </w:pPr>
      <w:r w:rsidRPr="000957A9">
        <w:t xml:space="preserve">Off-site monitoring </w:t>
      </w:r>
      <w:r>
        <w:t>also known as “desk” monitoring can serve as an eff</w:t>
      </w:r>
      <w:r w:rsidR="009145AE">
        <w:t xml:space="preserve">ective way </w:t>
      </w:r>
      <w:r>
        <w:t>of monitoring program compliance</w:t>
      </w:r>
      <w:r w:rsidR="00E933F6">
        <w:t xml:space="preserve">.  </w:t>
      </w:r>
      <w:r w:rsidR="009145AE">
        <w:t xml:space="preserve">Areas </w:t>
      </w:r>
      <w:r w:rsidR="00E933F6">
        <w:t>that can be monitored</w:t>
      </w:r>
      <w:r w:rsidR="009145AE">
        <w:t xml:space="preserve"> include</w:t>
      </w:r>
      <w:r w:rsidR="00E933F6">
        <w:t xml:space="preserve"> but are not limited to:</w:t>
      </w:r>
    </w:p>
    <w:p w14:paraId="3C452D54" w14:textId="26C3F6A2" w:rsidR="00E933F6" w:rsidRDefault="00E933F6" w:rsidP="00E933F6">
      <w:pPr>
        <w:pStyle w:val="NoSpacing"/>
        <w:numPr>
          <w:ilvl w:val="0"/>
          <w:numId w:val="36"/>
        </w:numPr>
      </w:pPr>
      <w:r>
        <w:t xml:space="preserve">Staff qualifications, DQSM compliance, licensing and </w:t>
      </w:r>
      <w:r w:rsidR="00E92F5F">
        <w:t xml:space="preserve">accreditation </w:t>
      </w:r>
      <w:r>
        <w:t xml:space="preserve">status, </w:t>
      </w:r>
      <w:r w:rsidR="00E92F5F">
        <w:t xml:space="preserve">Registry </w:t>
      </w:r>
      <w:r w:rsidR="007A5F67">
        <w:t xml:space="preserve">updates and reporting </w:t>
      </w:r>
      <w:r w:rsidR="00E92F5F">
        <w:t>requirements</w:t>
      </w:r>
      <w:r>
        <w:t>;</w:t>
      </w:r>
      <w:r w:rsidR="00E92F5F">
        <w:t xml:space="preserve">  </w:t>
      </w:r>
    </w:p>
    <w:p w14:paraId="44E8D62B" w14:textId="77777777" w:rsidR="00E933F6" w:rsidRDefault="00E933F6" w:rsidP="00E933F6">
      <w:pPr>
        <w:pStyle w:val="NoSpacing"/>
        <w:numPr>
          <w:ilvl w:val="0"/>
          <w:numId w:val="36"/>
        </w:numPr>
      </w:pPr>
      <w:r>
        <w:t>Classroom quality check-in via virtual observations;</w:t>
      </w:r>
    </w:p>
    <w:p w14:paraId="336D039E" w14:textId="2626E6E3" w:rsidR="00E933F6" w:rsidRDefault="00D91011" w:rsidP="00E933F6">
      <w:pPr>
        <w:pStyle w:val="NoSpacing"/>
        <w:numPr>
          <w:ilvl w:val="0"/>
          <w:numId w:val="36"/>
        </w:numPr>
      </w:pPr>
      <w:r>
        <w:t>Virtual r</w:t>
      </w:r>
      <w:r w:rsidR="00E933F6">
        <w:t>eview</w:t>
      </w:r>
      <w:r w:rsidR="009145AE">
        <w:t xml:space="preserve"> of </w:t>
      </w:r>
      <w:r w:rsidR="00E933F6">
        <w:t>learning plans for evidence o</w:t>
      </w:r>
      <w:r w:rsidR="009145AE">
        <w:t>f</w:t>
      </w:r>
      <w:r w:rsidR="00E933F6">
        <w:t xml:space="preserve"> intentional planning using</w:t>
      </w:r>
      <w:r w:rsidR="0057139A">
        <w:t xml:space="preserve"> CT</w:t>
      </w:r>
      <w:r w:rsidR="00E933F6">
        <w:t xml:space="preserve"> ELDS;</w:t>
      </w:r>
    </w:p>
    <w:p w14:paraId="78308FA0" w14:textId="05ADDCD7" w:rsidR="00D40023" w:rsidRDefault="00D40023" w:rsidP="003A623D">
      <w:pPr>
        <w:pStyle w:val="NoSpacing"/>
        <w:numPr>
          <w:ilvl w:val="0"/>
          <w:numId w:val="36"/>
        </w:numPr>
      </w:pPr>
      <w:r>
        <w:t xml:space="preserve">Review </w:t>
      </w:r>
      <w:r w:rsidR="009145AE">
        <w:t xml:space="preserve">of </w:t>
      </w:r>
      <w:r>
        <w:t>d</w:t>
      </w:r>
      <w:r w:rsidR="00E933F6">
        <w:t>istance learning activities</w:t>
      </w:r>
      <w:r>
        <w:t>;</w:t>
      </w:r>
      <w:r w:rsidR="009145AE">
        <w:t xml:space="preserve"> and </w:t>
      </w:r>
    </w:p>
    <w:p w14:paraId="7A02D50C" w14:textId="43BE6261" w:rsidR="00E92F5F" w:rsidRDefault="00D40023" w:rsidP="003A623D">
      <w:pPr>
        <w:pStyle w:val="NoSpacing"/>
        <w:numPr>
          <w:ilvl w:val="0"/>
          <w:numId w:val="36"/>
        </w:numPr>
      </w:pPr>
      <w:r>
        <w:t>Provid</w:t>
      </w:r>
      <w:r w:rsidR="009145AE">
        <w:t xml:space="preserve">ing </w:t>
      </w:r>
      <w:r>
        <w:t>support to program staff via virtual meetings</w:t>
      </w:r>
      <w:r w:rsidR="00E92F5F">
        <w:t>.</w:t>
      </w:r>
    </w:p>
    <w:p w14:paraId="59B42B2A" w14:textId="77777777" w:rsidR="00E92F5F" w:rsidRDefault="00E92F5F" w:rsidP="00E92F5F">
      <w:pPr>
        <w:pStyle w:val="NoSpacing"/>
      </w:pPr>
    </w:p>
    <w:p w14:paraId="6FE8C332" w14:textId="77777777" w:rsidR="00E92F5F" w:rsidRPr="00F06441" w:rsidRDefault="00E92F5F" w:rsidP="00E92F5F">
      <w:pPr>
        <w:pStyle w:val="Default"/>
        <w:rPr>
          <w:rStyle w:val="A6"/>
          <w:rFonts w:asciiTheme="minorHAnsi" w:hAnsiTheme="minorHAnsi" w:cstheme="minorHAnsi"/>
          <w:b/>
          <w:sz w:val="22"/>
          <w:szCs w:val="22"/>
        </w:rPr>
      </w:pPr>
      <w:r w:rsidRPr="00F06441">
        <w:rPr>
          <w:rStyle w:val="A6"/>
          <w:rFonts w:asciiTheme="minorHAnsi" w:hAnsiTheme="minorHAnsi" w:cstheme="minorHAnsi"/>
          <w:b/>
          <w:sz w:val="22"/>
          <w:szCs w:val="22"/>
        </w:rPr>
        <w:t>On-site monitoring</w:t>
      </w:r>
    </w:p>
    <w:p w14:paraId="1D9AE10E" w14:textId="702DAFF9" w:rsidR="00D91011" w:rsidRDefault="00E92F5F" w:rsidP="007A5F67">
      <w:pPr>
        <w:pStyle w:val="Default"/>
        <w:rPr>
          <w:b/>
          <w:u w:val="single"/>
        </w:rPr>
      </w:pPr>
      <w:r w:rsidRPr="002D512F">
        <w:rPr>
          <w:rStyle w:val="A6"/>
          <w:rFonts w:asciiTheme="minorHAnsi" w:hAnsiTheme="minorHAnsi" w:cstheme="minorHAnsi"/>
          <w:sz w:val="22"/>
          <w:szCs w:val="22"/>
        </w:rPr>
        <w:t xml:space="preserve">Councils are encouraged to work with the Local Public Health Departments in their communities to develop a protocol for safe </w:t>
      </w:r>
      <w:r w:rsidR="009145AE">
        <w:rPr>
          <w:rStyle w:val="A6"/>
          <w:rFonts w:asciiTheme="minorHAnsi" w:hAnsiTheme="minorHAnsi" w:cstheme="minorHAnsi"/>
          <w:sz w:val="22"/>
          <w:szCs w:val="22"/>
        </w:rPr>
        <w:t xml:space="preserve">monitoring </w:t>
      </w:r>
      <w:r w:rsidRPr="002D512F">
        <w:rPr>
          <w:rStyle w:val="A6"/>
          <w:rFonts w:asciiTheme="minorHAnsi" w:hAnsiTheme="minorHAnsi" w:cstheme="minorHAnsi"/>
          <w:sz w:val="22"/>
          <w:szCs w:val="22"/>
        </w:rPr>
        <w:t>visits for Liaisons or other</w:t>
      </w:r>
      <w:r w:rsidR="000548E7">
        <w:rPr>
          <w:rStyle w:val="A6"/>
          <w:rFonts w:asciiTheme="minorHAnsi" w:hAnsiTheme="minorHAnsi" w:cstheme="minorHAnsi"/>
          <w:sz w:val="22"/>
          <w:szCs w:val="22"/>
        </w:rPr>
        <w:t>s</w:t>
      </w:r>
      <w:r w:rsidRPr="002D512F">
        <w:rPr>
          <w:rStyle w:val="A6"/>
          <w:rFonts w:asciiTheme="minorHAnsi" w:hAnsiTheme="minorHAnsi" w:cstheme="minorHAnsi"/>
          <w:sz w:val="22"/>
          <w:szCs w:val="22"/>
        </w:rPr>
        <w:t xml:space="preserve"> who visit multiple sites as appropriate.  Visits that do not include classroom monitoring, should be scheduled for times when children</w:t>
      </w:r>
      <w:r w:rsidRPr="00F06441">
        <w:rPr>
          <w:rStyle w:val="A6"/>
          <w:rFonts w:asciiTheme="minorHAnsi" w:hAnsiTheme="minorHAnsi" w:cstheme="minorHAnsi"/>
          <w:sz w:val="22"/>
          <w:szCs w:val="22"/>
        </w:rPr>
        <w:t xml:space="preserve"> are not present. When it is necessary for </w:t>
      </w:r>
      <w:r w:rsidR="000548E7">
        <w:rPr>
          <w:rStyle w:val="A6"/>
          <w:rFonts w:asciiTheme="minorHAnsi" w:hAnsiTheme="minorHAnsi" w:cstheme="minorHAnsi"/>
          <w:sz w:val="22"/>
          <w:szCs w:val="22"/>
        </w:rPr>
        <w:t>L</w:t>
      </w:r>
      <w:r w:rsidRPr="00F06441">
        <w:rPr>
          <w:rStyle w:val="A6"/>
          <w:rFonts w:asciiTheme="minorHAnsi" w:hAnsiTheme="minorHAnsi" w:cstheme="minorHAnsi"/>
          <w:sz w:val="22"/>
          <w:szCs w:val="22"/>
        </w:rPr>
        <w:t>iaisons to be in the same space with children, they should take precautions to prevent the spread of COVID-19</w:t>
      </w:r>
      <w:r>
        <w:rPr>
          <w:rStyle w:val="A6"/>
          <w:rFonts w:asciiTheme="minorHAnsi" w:hAnsiTheme="minorHAnsi" w:cstheme="minorHAnsi"/>
          <w:sz w:val="22"/>
          <w:szCs w:val="22"/>
        </w:rPr>
        <w:t xml:space="preserve">. </w:t>
      </w:r>
      <w:r w:rsidR="00D91011">
        <w:rPr>
          <w:rStyle w:val="A6"/>
          <w:rFonts w:asciiTheme="minorHAnsi" w:hAnsiTheme="minorHAnsi" w:cstheme="minorHAnsi"/>
          <w:sz w:val="22"/>
          <w:szCs w:val="22"/>
        </w:rPr>
        <w:t xml:space="preserve"> </w:t>
      </w:r>
      <w:r w:rsidR="007A5F67">
        <w:rPr>
          <w:rStyle w:val="A6"/>
          <w:rFonts w:asciiTheme="minorHAnsi" w:hAnsiTheme="minorHAnsi" w:cstheme="minorHAnsi"/>
          <w:sz w:val="22"/>
          <w:szCs w:val="22"/>
        </w:rPr>
        <w:t>In addition to the items listed above, o</w:t>
      </w:r>
      <w:r w:rsidR="00D91011">
        <w:rPr>
          <w:rStyle w:val="A6"/>
          <w:rFonts w:asciiTheme="minorHAnsi" w:hAnsiTheme="minorHAnsi" w:cstheme="minorHAnsi"/>
          <w:sz w:val="22"/>
          <w:szCs w:val="22"/>
        </w:rPr>
        <w:t xml:space="preserve">n-site visits shall include observations of </w:t>
      </w:r>
      <w:r w:rsidRPr="0077566D">
        <w:rPr>
          <w:rStyle w:val="A6"/>
          <w:rFonts w:asciiTheme="minorHAnsi" w:hAnsiTheme="minorHAnsi" w:cstheme="minorHAnsi"/>
          <w:sz w:val="22"/>
          <w:szCs w:val="22"/>
        </w:rPr>
        <w:t>the</w:t>
      </w:r>
      <w:r w:rsidRPr="009F15C9">
        <w:rPr>
          <w:rStyle w:val="A6"/>
          <w:rFonts w:asciiTheme="minorHAnsi" w:hAnsiTheme="minorHAnsi" w:cstheme="minorHAnsi"/>
          <w:sz w:val="22"/>
          <w:szCs w:val="22"/>
        </w:rPr>
        <w:t xml:space="preserve"> health and safety practices implemented in the program and classroom</w:t>
      </w:r>
      <w:r w:rsidR="00D91011">
        <w:rPr>
          <w:rStyle w:val="A6"/>
          <w:rFonts w:asciiTheme="minorHAnsi" w:hAnsiTheme="minorHAnsi" w:cstheme="minorHAnsi"/>
          <w:sz w:val="22"/>
          <w:szCs w:val="22"/>
        </w:rPr>
        <w:t>s</w:t>
      </w:r>
    </w:p>
    <w:p w14:paraId="1A9007CF" w14:textId="77777777" w:rsidR="00D91011" w:rsidRDefault="00D91011" w:rsidP="00E92F5F">
      <w:pPr>
        <w:pStyle w:val="NoSpacing"/>
        <w:rPr>
          <w:b/>
          <w:u w:val="single"/>
        </w:rPr>
      </w:pPr>
    </w:p>
    <w:p w14:paraId="3BE6AB31" w14:textId="77777777" w:rsidR="00D91011" w:rsidRDefault="00D91011" w:rsidP="00E92F5F">
      <w:pPr>
        <w:pStyle w:val="NoSpacing"/>
        <w:rPr>
          <w:b/>
          <w:u w:val="single"/>
        </w:rPr>
      </w:pPr>
    </w:p>
    <w:p w14:paraId="18E53177" w14:textId="34F1D0DE" w:rsidR="00E92F5F" w:rsidRDefault="00E92F5F" w:rsidP="00E92F5F">
      <w:pPr>
        <w:pStyle w:val="NoSpacing"/>
        <w:rPr>
          <w:b/>
          <w:u w:val="single"/>
        </w:rPr>
      </w:pPr>
      <w:r>
        <w:rPr>
          <w:b/>
          <w:u w:val="single"/>
        </w:rPr>
        <w:t>REPORTING</w:t>
      </w:r>
    </w:p>
    <w:p w14:paraId="2BA759AE" w14:textId="77777777" w:rsidR="00E92F5F" w:rsidRDefault="00E92F5F" w:rsidP="00E92F5F">
      <w:pPr>
        <w:pStyle w:val="NoSpacing"/>
        <w:rPr>
          <w:b/>
          <w:u w:val="single"/>
        </w:rPr>
      </w:pPr>
    </w:p>
    <w:p w14:paraId="4E282B92" w14:textId="77777777" w:rsidR="00E92F5F" w:rsidRDefault="00E92F5F" w:rsidP="00E92F5F">
      <w:pPr>
        <w:pStyle w:val="NoSpacing"/>
        <w:rPr>
          <w:b/>
        </w:rPr>
      </w:pPr>
      <w:r>
        <w:rPr>
          <w:b/>
        </w:rPr>
        <w:t>Monthly Space and Funding Reports</w:t>
      </w:r>
    </w:p>
    <w:p w14:paraId="761C6530" w14:textId="5C13EC42" w:rsidR="00E92F5F" w:rsidRPr="0061693F" w:rsidRDefault="00E92F5F" w:rsidP="00E92F5F">
      <w:pPr>
        <w:pStyle w:val="NoSpacing"/>
      </w:pPr>
      <w:r>
        <w:t xml:space="preserve">Liaisons shall complete a community summary for Program Monthly Reports and shall submit the Community Summary and Program Monthly Reports to the </w:t>
      </w:r>
      <w:hyperlink r:id="rId7" w:history="1">
        <w:r w:rsidRPr="001233E8">
          <w:rPr>
            <w:rStyle w:val="Hyperlink"/>
          </w:rPr>
          <w:t>schoolreadines@ct.gov</w:t>
        </w:r>
      </w:hyperlink>
      <w:r>
        <w:t xml:space="preserve"> email box by due dates for each reporting period. </w:t>
      </w:r>
      <w:r w:rsidR="0001345B">
        <w:t xml:space="preserve">Updated </w:t>
      </w:r>
      <w:r>
        <w:t xml:space="preserve">Monthly Report Templates </w:t>
      </w:r>
      <w:r w:rsidR="0001345B">
        <w:t xml:space="preserve">reflecting these changes </w:t>
      </w:r>
      <w:r>
        <w:t>will be distributed to communities upon approval.</w:t>
      </w:r>
    </w:p>
    <w:p w14:paraId="3A62EAE2" w14:textId="77777777" w:rsidR="00E92F5F" w:rsidRDefault="00E92F5F" w:rsidP="00E92F5F">
      <w:pPr>
        <w:pStyle w:val="NoSpacing"/>
        <w:rPr>
          <w:b/>
          <w:u w:val="single"/>
        </w:rPr>
      </w:pPr>
    </w:p>
    <w:p w14:paraId="7FD9B118" w14:textId="77777777" w:rsidR="00E92F5F" w:rsidRPr="0061693F" w:rsidRDefault="00E92F5F" w:rsidP="00E92F5F">
      <w:pPr>
        <w:pStyle w:val="NoSpacing"/>
        <w:rPr>
          <w:b/>
        </w:rPr>
      </w:pPr>
      <w:r w:rsidRPr="0061693F">
        <w:rPr>
          <w:b/>
        </w:rPr>
        <w:t>Space Conversions and Shifts</w:t>
      </w:r>
    </w:p>
    <w:p w14:paraId="5D6BF37B" w14:textId="7E714849" w:rsidR="00E92F5F" w:rsidRDefault="00E92F5F" w:rsidP="00E92F5F">
      <w:pPr>
        <w:pStyle w:val="NoSpacing"/>
      </w:pPr>
      <w:r>
        <w:t>Liaisons shall submit space conversion and space shift requests to the OEC School Readiness Program Manager no later than the third Friday of each reporting period.  Requests must include a written justification for the change and updated space and funding grids reflecting the change.  The School Readiness Report of Change Form shall be completed and submitted for all space conversion and space shift requests.</w:t>
      </w:r>
      <w:r w:rsidR="0000355B">
        <w:t xml:space="preserve"> </w:t>
      </w:r>
    </w:p>
    <w:p w14:paraId="1168A900" w14:textId="77777777" w:rsidR="00E92F5F" w:rsidRDefault="00E92F5F" w:rsidP="00E92F5F">
      <w:pPr>
        <w:pStyle w:val="NoSpacing"/>
        <w:rPr>
          <w:b/>
        </w:rPr>
      </w:pPr>
    </w:p>
    <w:p w14:paraId="77282D61" w14:textId="77777777" w:rsidR="00E92F5F" w:rsidRPr="000F01B1" w:rsidRDefault="00E92F5F" w:rsidP="00E92F5F">
      <w:pPr>
        <w:pStyle w:val="NoSpacing"/>
        <w:rPr>
          <w:b/>
        </w:rPr>
      </w:pPr>
      <w:r w:rsidRPr="000F01B1">
        <w:rPr>
          <w:b/>
        </w:rPr>
        <w:t>Program Site Relocation</w:t>
      </w:r>
    </w:p>
    <w:p w14:paraId="5B61CDE9" w14:textId="04DDE5E8" w:rsidR="00E92F5F" w:rsidRDefault="00E92F5F" w:rsidP="00E92F5F">
      <w:pPr>
        <w:pStyle w:val="NoSpacing"/>
      </w:pPr>
      <w:r w:rsidRPr="000F01B1">
        <w:t xml:space="preserve">Liaisons shall submit </w:t>
      </w:r>
      <w:r w:rsidR="000548E7">
        <w:t xml:space="preserve">in </w:t>
      </w:r>
      <w:r w:rsidRPr="000F01B1">
        <w:t>advance</w:t>
      </w:r>
      <w:r>
        <w:t xml:space="preserve"> written notification of program site relocation to the OEC School Readiness Program Manager. Prior to submission, Liaisons will verify </w:t>
      </w:r>
      <w:r w:rsidR="000548E7">
        <w:t xml:space="preserve">that </w:t>
      </w:r>
      <w:r>
        <w:t>requirements are met at the new location</w:t>
      </w:r>
      <w:r w:rsidR="000548E7">
        <w:t xml:space="preserve"> </w:t>
      </w:r>
      <w:r>
        <w:t>including but not limited to: Staffing qualifications, accreditation</w:t>
      </w:r>
      <w:r w:rsidR="000548E7">
        <w:t xml:space="preserve"> status</w:t>
      </w:r>
      <w:r>
        <w:t xml:space="preserve">, licensing </w:t>
      </w:r>
      <w:r w:rsidR="000548E7">
        <w:t xml:space="preserve">status </w:t>
      </w:r>
      <w:r>
        <w:t xml:space="preserve">and Registry requirements.  The School Readiness Report </w:t>
      </w:r>
      <w:r w:rsidR="000548E7">
        <w:t xml:space="preserve">of </w:t>
      </w:r>
      <w:r>
        <w:t xml:space="preserve">Change Form, </w:t>
      </w:r>
      <w:r w:rsidR="00147B67">
        <w:t xml:space="preserve">Program </w:t>
      </w:r>
      <w:r>
        <w:t xml:space="preserve">Data </w:t>
      </w:r>
      <w:r w:rsidR="00147B67">
        <w:t xml:space="preserve">Grid </w:t>
      </w:r>
      <w:r>
        <w:t xml:space="preserve">and updated Contact Information Form shall be submitted </w:t>
      </w:r>
      <w:r w:rsidR="000548E7">
        <w:t xml:space="preserve">to OEC </w:t>
      </w:r>
      <w:r>
        <w:t xml:space="preserve">prior to any program site relocation.  </w:t>
      </w:r>
    </w:p>
    <w:p w14:paraId="52253E3B" w14:textId="77777777" w:rsidR="00E92F5F" w:rsidRDefault="00E92F5F" w:rsidP="00E92F5F">
      <w:pPr>
        <w:pStyle w:val="NoSpacing"/>
      </w:pPr>
    </w:p>
    <w:p w14:paraId="79D14E6C" w14:textId="7E33AA8E" w:rsidR="00E92F5F" w:rsidRPr="000F01B1" w:rsidRDefault="00E92F5F" w:rsidP="00E92F5F">
      <w:pPr>
        <w:pStyle w:val="NoSpacing"/>
        <w:rPr>
          <w:b/>
        </w:rPr>
      </w:pPr>
      <w:r>
        <w:rPr>
          <w:b/>
        </w:rPr>
        <w:t xml:space="preserve">Community, Council and Program </w:t>
      </w:r>
      <w:r w:rsidRPr="000F01B1">
        <w:rPr>
          <w:b/>
        </w:rPr>
        <w:t>Contact Information</w:t>
      </w:r>
    </w:p>
    <w:p w14:paraId="6DBA8223" w14:textId="0E3F5121" w:rsidR="00E92F5F" w:rsidRDefault="00E92F5F" w:rsidP="00E92F5F">
      <w:pPr>
        <w:pStyle w:val="NoSpacing"/>
      </w:pPr>
      <w:r>
        <w:t xml:space="preserve">Liaisons shall submit updated Contact Information Forms to the </w:t>
      </w:r>
      <w:hyperlink r:id="rId8" w:history="1">
        <w:r w:rsidRPr="001233E8">
          <w:rPr>
            <w:rStyle w:val="Hyperlink"/>
          </w:rPr>
          <w:t>schoolreadiness@ct.gov</w:t>
        </w:r>
      </w:hyperlink>
      <w:r>
        <w:t xml:space="preserve"> mailbox to notify the OEC of changes in contact information at the program and community level.  Prompt notification of such changes is expected.  Liaisons must verify information and submit a fully completed Contact Information Form for FY21 no later than August 20, 2020.  This form must include contact information for</w:t>
      </w:r>
      <w:r w:rsidR="009F4C9D">
        <w:t xml:space="preserve">: </w:t>
      </w:r>
      <w:r>
        <w:t>Council, Liaison, Fiscal Agent and Program contacts regardless if there has been a change from FY20.  Moving forward, only the portion of the forms identifying a change requires updating.</w:t>
      </w:r>
    </w:p>
    <w:p w14:paraId="271F7120" w14:textId="77777777" w:rsidR="00E92F5F" w:rsidRDefault="00E92F5F" w:rsidP="00E92F5F">
      <w:pPr>
        <w:pStyle w:val="NoSpacing"/>
      </w:pPr>
    </w:p>
    <w:p w14:paraId="7C43AE90" w14:textId="77777777" w:rsidR="00E92F5F" w:rsidRDefault="00E92F5F" w:rsidP="00E92F5F">
      <w:pPr>
        <w:pStyle w:val="NoSpacing"/>
        <w:rPr>
          <w:b/>
          <w:u w:val="single"/>
        </w:rPr>
      </w:pPr>
      <w:r w:rsidRPr="008C013A">
        <w:rPr>
          <w:b/>
          <w:u w:val="single"/>
        </w:rPr>
        <w:t>Liaison Status</w:t>
      </w:r>
    </w:p>
    <w:p w14:paraId="4B8CD7A0" w14:textId="77777777" w:rsidR="00E92F5F" w:rsidRPr="008C013A" w:rsidRDefault="00E92F5F" w:rsidP="00E92F5F">
      <w:pPr>
        <w:pStyle w:val="NoSpacing"/>
      </w:pPr>
      <w:r>
        <w:t xml:space="preserve">Liaisons and/or Councils shall submit changes in Liaison status to the OEC School Readiness Program Manager using the School Readiness Report of Change Form.  The Council’s plans for ensuring the responsibilities of the liaison will continue to be met during the recruitment process shall be submitted with the notification of change. </w:t>
      </w:r>
    </w:p>
    <w:p w14:paraId="75390524" w14:textId="77777777" w:rsidR="00E92F5F" w:rsidRDefault="00E92F5F" w:rsidP="00770C0A">
      <w:pPr>
        <w:pStyle w:val="NoSpacing"/>
        <w:rPr>
          <w:b/>
          <w:u w:val="single"/>
        </w:rPr>
      </w:pPr>
    </w:p>
    <w:p w14:paraId="27872520" w14:textId="77777777" w:rsidR="00E92F5F" w:rsidRDefault="00E92F5F" w:rsidP="00E92F5F">
      <w:pPr>
        <w:pStyle w:val="NoSpacing"/>
        <w:tabs>
          <w:tab w:val="left" w:pos="2540"/>
        </w:tabs>
        <w:rPr>
          <w:b/>
          <w:u w:val="single"/>
        </w:rPr>
      </w:pPr>
    </w:p>
    <w:p w14:paraId="18F30EEF" w14:textId="77777777" w:rsidR="0077566D" w:rsidRDefault="0077566D" w:rsidP="00E92F5F">
      <w:pPr>
        <w:pStyle w:val="NoSpacing"/>
        <w:tabs>
          <w:tab w:val="left" w:pos="2540"/>
        </w:tabs>
        <w:rPr>
          <w:b/>
          <w:u w:val="single"/>
        </w:rPr>
      </w:pPr>
    </w:p>
    <w:p w14:paraId="5B2E47CE" w14:textId="77777777" w:rsidR="0077566D" w:rsidRDefault="0077566D" w:rsidP="00E92F5F">
      <w:pPr>
        <w:pStyle w:val="NoSpacing"/>
        <w:tabs>
          <w:tab w:val="left" w:pos="2540"/>
        </w:tabs>
        <w:rPr>
          <w:b/>
          <w:u w:val="single"/>
        </w:rPr>
      </w:pPr>
    </w:p>
    <w:p w14:paraId="5D6B2BA6" w14:textId="77777777" w:rsidR="0077566D" w:rsidRDefault="0077566D" w:rsidP="00E92F5F">
      <w:pPr>
        <w:pStyle w:val="NoSpacing"/>
        <w:tabs>
          <w:tab w:val="left" w:pos="2540"/>
        </w:tabs>
        <w:rPr>
          <w:b/>
          <w:u w:val="single"/>
        </w:rPr>
      </w:pPr>
    </w:p>
    <w:p w14:paraId="2E026ED3" w14:textId="41533A91" w:rsidR="0077566D" w:rsidRDefault="0077566D" w:rsidP="00E92F5F">
      <w:pPr>
        <w:pStyle w:val="NoSpacing"/>
        <w:tabs>
          <w:tab w:val="left" w:pos="2540"/>
        </w:tabs>
        <w:rPr>
          <w:b/>
          <w:u w:val="single"/>
        </w:rPr>
      </w:pPr>
    </w:p>
    <w:p w14:paraId="30FAA2EB" w14:textId="77777777" w:rsidR="004C61BD" w:rsidRDefault="004C61BD" w:rsidP="00E92F5F">
      <w:pPr>
        <w:pStyle w:val="NoSpacing"/>
        <w:tabs>
          <w:tab w:val="left" w:pos="2540"/>
        </w:tabs>
        <w:rPr>
          <w:b/>
          <w:u w:val="single"/>
        </w:rPr>
      </w:pPr>
    </w:p>
    <w:p w14:paraId="08C369B1" w14:textId="77777777" w:rsidR="0077566D" w:rsidRDefault="0077566D" w:rsidP="00E92F5F">
      <w:pPr>
        <w:pStyle w:val="NoSpacing"/>
        <w:tabs>
          <w:tab w:val="left" w:pos="2540"/>
        </w:tabs>
        <w:rPr>
          <w:b/>
          <w:u w:val="single"/>
        </w:rPr>
      </w:pPr>
    </w:p>
    <w:p w14:paraId="6D872DB5" w14:textId="30250C3A" w:rsidR="0077566D" w:rsidRDefault="0077566D" w:rsidP="00E92F5F">
      <w:pPr>
        <w:pStyle w:val="NoSpacing"/>
        <w:tabs>
          <w:tab w:val="left" w:pos="2540"/>
        </w:tabs>
        <w:rPr>
          <w:b/>
          <w:u w:val="single"/>
        </w:rPr>
      </w:pPr>
    </w:p>
    <w:p w14:paraId="1852E9E9" w14:textId="3FE44525" w:rsidR="007267E1" w:rsidRDefault="007267E1" w:rsidP="00E92F5F">
      <w:pPr>
        <w:pStyle w:val="NoSpacing"/>
        <w:tabs>
          <w:tab w:val="left" w:pos="2540"/>
        </w:tabs>
        <w:rPr>
          <w:b/>
          <w:u w:val="single"/>
        </w:rPr>
      </w:pPr>
    </w:p>
    <w:p w14:paraId="06A7F799" w14:textId="5AC4D2C3" w:rsidR="00E92F5F" w:rsidRDefault="00E92F5F" w:rsidP="00E92F5F">
      <w:pPr>
        <w:pStyle w:val="NoSpacing"/>
        <w:tabs>
          <w:tab w:val="left" w:pos="2540"/>
        </w:tabs>
        <w:rPr>
          <w:b/>
          <w:u w:val="single"/>
        </w:rPr>
      </w:pPr>
      <w:r>
        <w:rPr>
          <w:b/>
          <w:u w:val="single"/>
        </w:rPr>
        <w:t>BUDGETS/</w:t>
      </w:r>
      <w:r w:rsidRPr="003E01B1">
        <w:rPr>
          <w:b/>
          <w:u w:val="single"/>
        </w:rPr>
        <w:t>eGMS SYSTEM</w:t>
      </w:r>
      <w:r w:rsidRPr="00BE3846">
        <w:rPr>
          <w:b/>
        </w:rPr>
        <w:tab/>
      </w:r>
    </w:p>
    <w:p w14:paraId="74D25A2F" w14:textId="77777777" w:rsidR="00E92F5F" w:rsidRDefault="00E92F5F" w:rsidP="00E92F5F">
      <w:pPr>
        <w:pStyle w:val="NoSpacing"/>
        <w:rPr>
          <w:b/>
          <w:u w:val="single"/>
        </w:rPr>
      </w:pPr>
    </w:p>
    <w:p w14:paraId="44DAA05B" w14:textId="77777777" w:rsidR="00E92F5F" w:rsidRPr="00BD6528" w:rsidRDefault="00E92F5F" w:rsidP="00E92F5F">
      <w:pPr>
        <w:pStyle w:val="NoSpacing"/>
        <w:numPr>
          <w:ilvl w:val="0"/>
          <w:numId w:val="5"/>
        </w:numPr>
        <w:rPr>
          <w:b/>
          <w:u w:val="single"/>
        </w:rPr>
      </w:pPr>
      <w:r>
        <w:t xml:space="preserve">E-Grants, a new electronic grants and budget system will be put into operation for Competitive and Priority School Readiness communities beginning in September 2020. </w:t>
      </w:r>
    </w:p>
    <w:p w14:paraId="12469076" w14:textId="77777777" w:rsidR="00E92F5F" w:rsidRDefault="00E92F5F" w:rsidP="00E92F5F">
      <w:pPr>
        <w:pStyle w:val="NoSpacing"/>
        <w:numPr>
          <w:ilvl w:val="0"/>
          <w:numId w:val="5"/>
        </w:numPr>
      </w:pPr>
      <w:r>
        <w:t xml:space="preserve">Fiscal contacts will receive additional information about the system in upcoming weeks and will be provided with opportunities for training regarding use of the system. </w:t>
      </w:r>
    </w:p>
    <w:p w14:paraId="3820CAB2" w14:textId="77777777" w:rsidR="00E92F5F" w:rsidRPr="00BD6528" w:rsidRDefault="00E92F5F" w:rsidP="00E92F5F">
      <w:pPr>
        <w:pStyle w:val="NoSpacing"/>
        <w:numPr>
          <w:ilvl w:val="0"/>
          <w:numId w:val="5"/>
        </w:numPr>
      </w:pPr>
      <w:r w:rsidRPr="00BD6528">
        <w:t xml:space="preserve">OEC </w:t>
      </w:r>
      <w:r>
        <w:t>staff will enter the budgets in the E-Grants system for all communities.  Funding will be spread across 2 lines: 100 (Administrative Funding) and 500 (Funding for spaces.)</w:t>
      </w:r>
    </w:p>
    <w:p w14:paraId="5D0CE19C" w14:textId="2E181DA1" w:rsidR="00E92F5F" w:rsidRPr="00BD6528" w:rsidRDefault="00E92F5F" w:rsidP="00E92F5F">
      <w:pPr>
        <w:pStyle w:val="NoSpacing"/>
        <w:numPr>
          <w:ilvl w:val="0"/>
          <w:numId w:val="5"/>
        </w:numPr>
      </w:pPr>
      <w:r>
        <w:t>Upon final approval for fund</w:t>
      </w:r>
      <w:r w:rsidR="009F4C9D">
        <w:t>s</w:t>
      </w:r>
      <w:r>
        <w:t xml:space="preserve"> being granted, </w:t>
      </w:r>
      <w:r w:rsidRPr="00BD6528">
        <w:t>Fiscal Agent</w:t>
      </w:r>
      <w:r>
        <w:t>s</w:t>
      </w:r>
      <w:r w:rsidRPr="00BD6528">
        <w:t xml:space="preserve"> </w:t>
      </w:r>
      <w:r>
        <w:t xml:space="preserve">will be required to submit </w:t>
      </w:r>
      <w:r w:rsidRPr="00BD6528">
        <w:t>revision</w:t>
      </w:r>
      <w:r>
        <w:t>s</w:t>
      </w:r>
      <w:r w:rsidRPr="00BD6528">
        <w:t xml:space="preserve"> </w:t>
      </w:r>
      <w:r>
        <w:t xml:space="preserve">and </w:t>
      </w:r>
      <w:r w:rsidRPr="00BD6528">
        <w:t>spread funds out across all applicable budget lines</w:t>
      </w:r>
      <w:r>
        <w:t>.</w:t>
      </w:r>
    </w:p>
    <w:p w14:paraId="739153F7" w14:textId="77777777" w:rsidR="0077566D" w:rsidRDefault="0077566D" w:rsidP="00770C0A">
      <w:pPr>
        <w:pStyle w:val="NoSpacing"/>
        <w:rPr>
          <w:b/>
          <w:u w:val="single"/>
        </w:rPr>
      </w:pPr>
    </w:p>
    <w:p w14:paraId="74566230" w14:textId="77777777" w:rsidR="0077566D" w:rsidRDefault="0077566D" w:rsidP="00770C0A">
      <w:pPr>
        <w:pStyle w:val="NoSpacing"/>
        <w:rPr>
          <w:b/>
          <w:u w:val="single"/>
        </w:rPr>
      </w:pPr>
    </w:p>
    <w:p w14:paraId="5237FA6F" w14:textId="289B9957" w:rsidR="00437B79" w:rsidRPr="00AE089C" w:rsidRDefault="00AE089C" w:rsidP="00770C0A">
      <w:pPr>
        <w:pStyle w:val="NoSpacing"/>
        <w:rPr>
          <w:b/>
          <w:u w:val="single"/>
        </w:rPr>
      </w:pPr>
      <w:r w:rsidRPr="00AE089C">
        <w:rPr>
          <w:b/>
          <w:u w:val="single"/>
        </w:rPr>
        <w:t>PAYMENTS</w:t>
      </w:r>
    </w:p>
    <w:p w14:paraId="488F4938" w14:textId="77777777" w:rsidR="00770C0A" w:rsidRPr="002459A9" w:rsidRDefault="00770C0A" w:rsidP="00770C0A">
      <w:pPr>
        <w:pStyle w:val="NoSpacing"/>
        <w:rPr>
          <w:b/>
          <w:u w:val="single"/>
        </w:rPr>
      </w:pPr>
    </w:p>
    <w:p w14:paraId="3BF8BB77" w14:textId="77777777" w:rsidR="005945AC" w:rsidRPr="005945AC" w:rsidRDefault="00BE3846" w:rsidP="00BE3846">
      <w:pPr>
        <w:pStyle w:val="NoSpacing"/>
        <w:numPr>
          <w:ilvl w:val="0"/>
          <w:numId w:val="5"/>
        </w:numPr>
        <w:rPr>
          <w:b/>
          <w:u w:val="single"/>
        </w:rPr>
      </w:pPr>
      <w:r>
        <w:t>Fund</w:t>
      </w:r>
      <w:r w:rsidR="00191099">
        <w:t>ing</w:t>
      </w:r>
      <w:r>
        <w:t xml:space="preserve"> </w:t>
      </w:r>
      <w:r w:rsidR="0026688F">
        <w:t xml:space="preserve">is </w:t>
      </w:r>
      <w:r>
        <w:t>earned based on utilization</w:t>
      </w:r>
      <w:r w:rsidR="005945AC">
        <w:t xml:space="preserve"> </w:t>
      </w:r>
      <w:r w:rsidR="0026688F">
        <w:t xml:space="preserve">of spaces </w:t>
      </w:r>
      <w:r w:rsidR="005945AC">
        <w:t xml:space="preserve">within </w:t>
      </w:r>
      <w:r w:rsidR="0026688F">
        <w:t>appropriated al</w:t>
      </w:r>
      <w:r w:rsidR="005945AC">
        <w:t>locations</w:t>
      </w:r>
      <w:r w:rsidR="00CA1471">
        <w:t>.</w:t>
      </w:r>
    </w:p>
    <w:p w14:paraId="503CA111" w14:textId="6E357DA1" w:rsidR="00BE3846" w:rsidRPr="0026688F" w:rsidRDefault="00BE3846" w:rsidP="00BE3846">
      <w:pPr>
        <w:pStyle w:val="NoSpacing"/>
        <w:numPr>
          <w:ilvl w:val="0"/>
          <w:numId w:val="5"/>
        </w:numPr>
        <w:rPr>
          <w:b/>
          <w:u w:val="single"/>
        </w:rPr>
      </w:pPr>
      <w:r w:rsidRPr="00BE3846">
        <w:t xml:space="preserve">Children must </w:t>
      </w:r>
      <w:r w:rsidR="0026688F">
        <w:t xml:space="preserve">be in attendance </w:t>
      </w:r>
      <w:r w:rsidRPr="00BE3846">
        <w:t xml:space="preserve">at least one day during the reporting period for programs to </w:t>
      </w:r>
      <w:r w:rsidR="0009193B">
        <w:t xml:space="preserve">earn the funds for </w:t>
      </w:r>
      <w:r w:rsidR="005945AC">
        <w:t>the space in which they are enrolled.</w:t>
      </w:r>
    </w:p>
    <w:p w14:paraId="40FBE50A" w14:textId="15218905" w:rsidR="0026688F" w:rsidRPr="00BE3846" w:rsidRDefault="0026688F" w:rsidP="00BE3846">
      <w:pPr>
        <w:pStyle w:val="NoSpacing"/>
        <w:numPr>
          <w:ilvl w:val="0"/>
          <w:numId w:val="5"/>
        </w:numPr>
        <w:rPr>
          <w:b/>
          <w:u w:val="single"/>
        </w:rPr>
      </w:pPr>
      <w:r>
        <w:t xml:space="preserve">Programs providing Distance Learning services during </w:t>
      </w:r>
      <w:r w:rsidR="00CA1471">
        <w:t>any</w:t>
      </w:r>
      <w:r>
        <w:t xml:space="preserve"> reporting period</w:t>
      </w:r>
      <w:r w:rsidR="00CA1471">
        <w:t>, shall</w:t>
      </w:r>
      <w:r>
        <w:t xml:space="preserve"> document the participation of children and families during that month in order to </w:t>
      </w:r>
      <w:r w:rsidR="00CA1471">
        <w:t>receive payment for each space and shall include this information with the submission of their monthly report.</w:t>
      </w:r>
    </w:p>
    <w:p w14:paraId="1A8E7EA3" w14:textId="77777777" w:rsidR="00770C0A" w:rsidRPr="00501D69" w:rsidRDefault="00770C0A" w:rsidP="00770C0A">
      <w:pPr>
        <w:pStyle w:val="NoSpacing"/>
        <w:numPr>
          <w:ilvl w:val="0"/>
          <w:numId w:val="5"/>
        </w:numPr>
      </w:pPr>
      <w:r w:rsidRPr="00501D69">
        <w:t>CHEFA Intercepts</w:t>
      </w:r>
      <w:r w:rsidR="00AE089C" w:rsidRPr="00501D69">
        <w:t xml:space="preserve"> for FY 21 will be withheld from payments August 2020 – June 2021</w:t>
      </w:r>
      <w:r w:rsidR="005945AC" w:rsidRPr="00501D69">
        <w:t xml:space="preserve"> for applicable programs and communities</w:t>
      </w:r>
      <w:r w:rsidR="00AE089C" w:rsidRPr="00501D69">
        <w:t>.</w:t>
      </w:r>
    </w:p>
    <w:p w14:paraId="09CC4028" w14:textId="17809E65" w:rsidR="005945AC" w:rsidRDefault="00501D69">
      <w:pPr>
        <w:pStyle w:val="NoSpacing"/>
        <w:numPr>
          <w:ilvl w:val="0"/>
          <w:numId w:val="5"/>
        </w:numPr>
      </w:pPr>
      <w:r w:rsidRPr="00501D69">
        <w:t xml:space="preserve">Fiscal Agents for </w:t>
      </w:r>
      <w:r w:rsidR="00BE3846" w:rsidRPr="00501D69">
        <w:t xml:space="preserve">CSR and PSR </w:t>
      </w:r>
      <w:r w:rsidR="005F110B">
        <w:t>d</w:t>
      </w:r>
      <w:r w:rsidR="00BE3846" w:rsidRPr="00501D69">
        <w:t xml:space="preserve">istricts </w:t>
      </w:r>
      <w:r w:rsidRPr="00501D69">
        <w:t>shall</w:t>
      </w:r>
      <w:r w:rsidR="00BE3846" w:rsidRPr="00501D69">
        <w:t xml:space="preserve"> re</w:t>
      </w:r>
      <w:r w:rsidR="005945AC" w:rsidRPr="00501D69">
        <w:t>quest</w:t>
      </w:r>
      <w:r w:rsidR="00BE3846" w:rsidRPr="00501D69">
        <w:t xml:space="preserve"> </w:t>
      </w:r>
      <w:r w:rsidRPr="00501D69">
        <w:t xml:space="preserve">FY21 </w:t>
      </w:r>
      <w:r w:rsidR="00BE3846" w:rsidRPr="00501D69">
        <w:t xml:space="preserve">payments </w:t>
      </w:r>
      <w:r w:rsidRPr="00501D69">
        <w:t xml:space="preserve">through </w:t>
      </w:r>
      <w:r w:rsidR="005945AC" w:rsidRPr="00501D69">
        <w:t>the electronic eGMS grant and budget system.</w:t>
      </w:r>
      <w:r w:rsidR="00BE3846" w:rsidRPr="00501D69">
        <w:t xml:space="preserve">  </w:t>
      </w:r>
    </w:p>
    <w:p w14:paraId="7BC5F7EC" w14:textId="77777777" w:rsidR="002D512F" w:rsidRPr="00501D69" w:rsidRDefault="002D512F" w:rsidP="00770C0A">
      <w:pPr>
        <w:pStyle w:val="NoSpacing"/>
        <w:numPr>
          <w:ilvl w:val="0"/>
          <w:numId w:val="5"/>
        </w:numPr>
      </w:pPr>
      <w:r>
        <w:t>Grant award letters will be available via the eGMS system.</w:t>
      </w:r>
    </w:p>
    <w:p w14:paraId="74C51E2E" w14:textId="77777777" w:rsidR="005945AC" w:rsidRPr="00501D69" w:rsidRDefault="005945AC" w:rsidP="00770C0A">
      <w:pPr>
        <w:pStyle w:val="NoSpacing"/>
        <w:numPr>
          <w:ilvl w:val="0"/>
          <w:numId w:val="5"/>
        </w:numPr>
      </w:pPr>
      <w:r w:rsidRPr="00501D69">
        <w:t xml:space="preserve">Payments for </w:t>
      </w:r>
      <w:r w:rsidR="00501D69" w:rsidRPr="00501D69">
        <w:t xml:space="preserve">the utilization of spaces during </w:t>
      </w:r>
      <w:r w:rsidRPr="00501D69">
        <w:t xml:space="preserve">September </w:t>
      </w:r>
      <w:r w:rsidR="00501D69" w:rsidRPr="00501D69">
        <w:t xml:space="preserve">2020 </w:t>
      </w:r>
      <w:r w:rsidRPr="00501D69">
        <w:t xml:space="preserve">will be available </w:t>
      </w:r>
      <w:r w:rsidR="00501D69" w:rsidRPr="00501D69">
        <w:t xml:space="preserve">for </w:t>
      </w:r>
      <w:r w:rsidRPr="00501D69">
        <w:t xml:space="preserve">request in </w:t>
      </w:r>
      <w:r w:rsidR="00CA1471">
        <w:t xml:space="preserve">the eGMS system in </w:t>
      </w:r>
      <w:r w:rsidRPr="00501D69">
        <w:t>September 2020.</w:t>
      </w:r>
      <w:r w:rsidR="00CA1471">
        <w:t xml:space="preserve"> Fiscal agents will be notified when the system when budgets have been approved and funds can be accessed.</w:t>
      </w:r>
    </w:p>
    <w:p w14:paraId="4923B7E2" w14:textId="77777777" w:rsidR="005945AC" w:rsidRDefault="005945AC" w:rsidP="00822C0F">
      <w:pPr>
        <w:pStyle w:val="NoSpacing"/>
        <w:numPr>
          <w:ilvl w:val="0"/>
          <w:numId w:val="5"/>
        </w:numPr>
      </w:pPr>
      <w:r w:rsidRPr="00501D69">
        <w:t xml:space="preserve">Payments for the </w:t>
      </w:r>
      <w:r w:rsidR="00501D69" w:rsidRPr="00501D69">
        <w:t xml:space="preserve">utilization of spaces during October 2020 through June 2021 </w:t>
      </w:r>
      <w:r w:rsidRPr="00501D69">
        <w:t xml:space="preserve">shall be available for request </w:t>
      </w:r>
      <w:r w:rsidR="00501D69" w:rsidRPr="00501D69">
        <w:t xml:space="preserve">in the eGMS system </w:t>
      </w:r>
      <w:r w:rsidRPr="00501D69">
        <w:t>on a quarterly basis</w:t>
      </w:r>
      <w:r w:rsidR="002D512F">
        <w:t xml:space="preserve"> during the months of</w:t>
      </w:r>
      <w:r w:rsidRPr="00501D69">
        <w:t xml:space="preserve"> October 2020, December 2020 and April 2021.</w:t>
      </w:r>
    </w:p>
    <w:p w14:paraId="7A52259A" w14:textId="77777777" w:rsidR="002D512F" w:rsidRDefault="002D512F" w:rsidP="00822C0F">
      <w:pPr>
        <w:pStyle w:val="NoSpacing"/>
        <w:numPr>
          <w:ilvl w:val="0"/>
          <w:numId w:val="5"/>
        </w:numPr>
      </w:pPr>
      <w:r>
        <w:t xml:space="preserve">Payments for Administrative funds shall be requested in the eGMS system on the same schedule </w:t>
      </w:r>
      <w:r w:rsidR="0057139A">
        <w:t xml:space="preserve">as </w:t>
      </w:r>
      <w:r>
        <w:t>payments for services will be available.</w:t>
      </w:r>
    </w:p>
    <w:p w14:paraId="3C79703E" w14:textId="77777777" w:rsidR="000942DB" w:rsidRDefault="000942DB" w:rsidP="000942DB">
      <w:pPr>
        <w:pStyle w:val="NoSpacing"/>
        <w:numPr>
          <w:ilvl w:val="0"/>
          <w:numId w:val="5"/>
        </w:numPr>
      </w:pPr>
      <w:r>
        <w:t xml:space="preserve">Districts must ensure that </w:t>
      </w:r>
      <w:r w:rsidR="002D512F">
        <w:t xml:space="preserve">payment </w:t>
      </w:r>
      <w:r>
        <w:t xml:space="preserve">requests for </w:t>
      </w:r>
      <w:r w:rsidR="002D512F">
        <w:t xml:space="preserve">services provided </w:t>
      </w:r>
      <w:r>
        <w:t xml:space="preserve">do not exceed monthly utilization of spaces. </w:t>
      </w:r>
    </w:p>
    <w:p w14:paraId="19D3D890" w14:textId="64DD3E05" w:rsidR="002D512F" w:rsidRDefault="000942DB" w:rsidP="00480E84">
      <w:pPr>
        <w:pStyle w:val="NoSpacing"/>
        <w:numPr>
          <w:ilvl w:val="0"/>
          <w:numId w:val="5"/>
        </w:numPr>
      </w:pPr>
      <w:r>
        <w:t xml:space="preserve">It is the responsibility of the </w:t>
      </w:r>
      <w:r w:rsidR="005F110B">
        <w:t>F</w:t>
      </w:r>
      <w:r>
        <w:t xml:space="preserve">iscal </w:t>
      </w:r>
      <w:r w:rsidR="005F110B">
        <w:t>A</w:t>
      </w:r>
      <w:r>
        <w:t xml:space="preserve">gent to reconcile payment requests with the funds earned </w:t>
      </w:r>
      <w:r w:rsidR="002D512F">
        <w:t xml:space="preserve">based on utilization </w:t>
      </w:r>
      <w:r>
        <w:t xml:space="preserve">on a monthly basis to ensure excess funds are not </w:t>
      </w:r>
      <w:r w:rsidR="002D512F">
        <w:t>requested over the course of FY21.</w:t>
      </w:r>
    </w:p>
    <w:p w14:paraId="729194D8" w14:textId="4F944264" w:rsidR="00440CEC" w:rsidRDefault="002D512F" w:rsidP="00EC6CDB">
      <w:pPr>
        <w:pStyle w:val="NoSpacing"/>
        <w:numPr>
          <w:ilvl w:val="0"/>
          <w:numId w:val="5"/>
        </w:numPr>
        <w:rPr>
          <w:b/>
          <w:u w:val="single"/>
        </w:rPr>
      </w:pPr>
      <w:r>
        <w:t xml:space="preserve">Funds </w:t>
      </w:r>
      <w:r w:rsidR="000942DB">
        <w:t>receive</w:t>
      </w:r>
      <w:r w:rsidR="005F110B">
        <w:t>d</w:t>
      </w:r>
      <w:r w:rsidR="000942DB">
        <w:t xml:space="preserve"> that are </w:t>
      </w:r>
      <w:r>
        <w:t xml:space="preserve">in excess of funds earned based on utilization </w:t>
      </w:r>
      <w:r w:rsidR="000942DB">
        <w:t>shall be returned to the OEC.</w:t>
      </w:r>
    </w:p>
    <w:p w14:paraId="56081628" w14:textId="77777777" w:rsidR="00E92F5F" w:rsidRDefault="00E92F5F" w:rsidP="00440CEC">
      <w:pPr>
        <w:pStyle w:val="NoSpacing"/>
        <w:ind w:left="720"/>
        <w:rPr>
          <w:b/>
          <w:u w:val="single"/>
        </w:rPr>
      </w:pPr>
    </w:p>
    <w:p w14:paraId="0F46E7C2" w14:textId="77777777" w:rsidR="00AF267C" w:rsidRDefault="00AF267C" w:rsidP="00A64D5D">
      <w:pPr>
        <w:pStyle w:val="NoSpacing"/>
        <w:rPr>
          <w:b/>
          <w:u w:val="single"/>
        </w:rPr>
      </w:pPr>
    </w:p>
    <w:p w14:paraId="7E8CB8DC" w14:textId="77777777" w:rsidR="00A64D5D" w:rsidRDefault="00A64D5D" w:rsidP="00A64D5D">
      <w:pPr>
        <w:pStyle w:val="NoSpacing"/>
        <w:rPr>
          <w:b/>
          <w:u w:val="single"/>
        </w:rPr>
      </w:pPr>
    </w:p>
    <w:sectPr w:rsidR="00A64D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CF57" w14:textId="77777777" w:rsidR="006C2B56" w:rsidRDefault="006C2B56" w:rsidP="00B0367C">
      <w:pPr>
        <w:spacing w:after="0" w:line="240" w:lineRule="auto"/>
      </w:pPr>
      <w:r>
        <w:separator/>
      </w:r>
    </w:p>
  </w:endnote>
  <w:endnote w:type="continuationSeparator" w:id="0">
    <w:p w14:paraId="2F78B036" w14:textId="77777777" w:rsidR="006C2B56" w:rsidRDefault="006C2B56" w:rsidP="00B0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E691" w14:textId="77777777" w:rsidR="008D53A8" w:rsidRDefault="008D5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CFC8" w14:textId="2298340E" w:rsidR="008D53A8" w:rsidRDefault="008D53A8" w:rsidP="008D53A8">
    <w:pPr>
      <w:pStyle w:val="Footer"/>
    </w:pPr>
    <w:r w:rsidRPr="008D53A8">
      <w:rPr>
        <w:sz w:val="18"/>
        <w:szCs w:val="18"/>
      </w:rPr>
      <w:t>FY 21 School Readiness September to June Guidance</w:t>
    </w:r>
    <w:r>
      <w:t xml:space="preserve">    </w:t>
    </w:r>
    <w:sdt>
      <w:sdtPr>
        <w:id w:val="147972537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DD33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3309">
              <w:rPr>
                <w:b/>
                <w:bCs/>
                <w:noProof/>
              </w:rPr>
              <w:t>8</w:t>
            </w:r>
            <w:r>
              <w:rPr>
                <w:b/>
                <w:bCs/>
                <w:sz w:val="24"/>
                <w:szCs w:val="24"/>
              </w:rPr>
              <w:fldChar w:fldCharType="end"/>
            </w:r>
          </w:sdtContent>
        </w:sdt>
      </w:sdtContent>
    </w:sdt>
  </w:p>
  <w:p w14:paraId="1BF7E1ED" w14:textId="77777777" w:rsidR="008D53A8" w:rsidRDefault="008D5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48C7" w14:textId="77777777" w:rsidR="008D53A8" w:rsidRDefault="008D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A797" w14:textId="77777777" w:rsidR="006C2B56" w:rsidRDefault="006C2B56" w:rsidP="00B0367C">
      <w:pPr>
        <w:spacing w:after="0" w:line="240" w:lineRule="auto"/>
      </w:pPr>
      <w:r>
        <w:separator/>
      </w:r>
    </w:p>
  </w:footnote>
  <w:footnote w:type="continuationSeparator" w:id="0">
    <w:p w14:paraId="226F3F1E" w14:textId="77777777" w:rsidR="006C2B56" w:rsidRDefault="006C2B56" w:rsidP="00B0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B08F" w14:textId="77777777" w:rsidR="008D53A8" w:rsidRDefault="008D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63E6" w14:textId="77777777" w:rsidR="008D53A8" w:rsidRDefault="008D5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DF96" w14:textId="77777777" w:rsidR="008D53A8" w:rsidRDefault="008D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B5A"/>
    <w:multiLevelType w:val="hybridMultilevel"/>
    <w:tmpl w:val="454A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F92"/>
    <w:multiLevelType w:val="hybridMultilevel"/>
    <w:tmpl w:val="F428562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0CD50938"/>
    <w:multiLevelType w:val="hybridMultilevel"/>
    <w:tmpl w:val="946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08F6"/>
    <w:multiLevelType w:val="hybridMultilevel"/>
    <w:tmpl w:val="F3BAB9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FE15487"/>
    <w:multiLevelType w:val="hybridMultilevel"/>
    <w:tmpl w:val="2116C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B0A6E"/>
    <w:multiLevelType w:val="hybridMultilevel"/>
    <w:tmpl w:val="964C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0957"/>
    <w:multiLevelType w:val="hybridMultilevel"/>
    <w:tmpl w:val="E48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75CC8"/>
    <w:multiLevelType w:val="hybridMultilevel"/>
    <w:tmpl w:val="803E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6281D"/>
    <w:multiLevelType w:val="hybridMultilevel"/>
    <w:tmpl w:val="15B8B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35336"/>
    <w:multiLevelType w:val="hybridMultilevel"/>
    <w:tmpl w:val="0AF8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34311"/>
    <w:multiLevelType w:val="hybridMultilevel"/>
    <w:tmpl w:val="5970A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64E1E"/>
    <w:multiLevelType w:val="hybridMultilevel"/>
    <w:tmpl w:val="5808A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86F2B"/>
    <w:multiLevelType w:val="hybridMultilevel"/>
    <w:tmpl w:val="F4E6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207EA"/>
    <w:multiLevelType w:val="hybridMultilevel"/>
    <w:tmpl w:val="2CAE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D08"/>
    <w:multiLevelType w:val="hybridMultilevel"/>
    <w:tmpl w:val="D1E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05A4"/>
    <w:multiLevelType w:val="hybridMultilevel"/>
    <w:tmpl w:val="2C004058"/>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DC35C41"/>
    <w:multiLevelType w:val="hybridMultilevel"/>
    <w:tmpl w:val="F8DA4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FE6DE5"/>
    <w:multiLevelType w:val="hybridMultilevel"/>
    <w:tmpl w:val="8710D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792783"/>
    <w:multiLevelType w:val="hybridMultilevel"/>
    <w:tmpl w:val="30B62F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D50383"/>
    <w:multiLevelType w:val="hybridMultilevel"/>
    <w:tmpl w:val="C1661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0417FF"/>
    <w:multiLevelType w:val="hybridMultilevel"/>
    <w:tmpl w:val="7C589A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9860144"/>
    <w:multiLevelType w:val="hybridMultilevel"/>
    <w:tmpl w:val="77D0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13084"/>
    <w:multiLevelType w:val="hybridMultilevel"/>
    <w:tmpl w:val="EF74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B0B15"/>
    <w:multiLevelType w:val="hybridMultilevel"/>
    <w:tmpl w:val="B3C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C4E7E"/>
    <w:multiLevelType w:val="hybridMultilevel"/>
    <w:tmpl w:val="FA1EE1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5187857"/>
    <w:multiLevelType w:val="hybridMultilevel"/>
    <w:tmpl w:val="ECE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D4810"/>
    <w:multiLevelType w:val="hybridMultilevel"/>
    <w:tmpl w:val="9C06F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905E4"/>
    <w:multiLevelType w:val="hybridMultilevel"/>
    <w:tmpl w:val="40A459D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5333109C"/>
    <w:multiLevelType w:val="hybridMultilevel"/>
    <w:tmpl w:val="A144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26BD6"/>
    <w:multiLevelType w:val="hybridMultilevel"/>
    <w:tmpl w:val="7C344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B4E41"/>
    <w:multiLevelType w:val="hybridMultilevel"/>
    <w:tmpl w:val="96C0B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E581E2E"/>
    <w:multiLevelType w:val="hybridMultilevel"/>
    <w:tmpl w:val="ECDC7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70908"/>
    <w:multiLevelType w:val="hybridMultilevel"/>
    <w:tmpl w:val="B4D62D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730176"/>
    <w:multiLevelType w:val="hybridMultilevel"/>
    <w:tmpl w:val="6E08A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E626C2"/>
    <w:multiLevelType w:val="hybridMultilevel"/>
    <w:tmpl w:val="5B56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92ED0"/>
    <w:multiLevelType w:val="hybridMultilevel"/>
    <w:tmpl w:val="4904A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60602"/>
    <w:multiLevelType w:val="hybridMultilevel"/>
    <w:tmpl w:val="51A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70873"/>
    <w:multiLevelType w:val="hybridMultilevel"/>
    <w:tmpl w:val="C6F2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B373D"/>
    <w:multiLevelType w:val="hybridMultilevel"/>
    <w:tmpl w:val="BF080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A1AE2"/>
    <w:multiLevelType w:val="hybridMultilevel"/>
    <w:tmpl w:val="EB38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83CE5"/>
    <w:multiLevelType w:val="hybridMultilevel"/>
    <w:tmpl w:val="B2027E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B960FAC"/>
    <w:multiLevelType w:val="hybridMultilevel"/>
    <w:tmpl w:val="1BD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8"/>
  </w:num>
  <w:num w:numId="4">
    <w:abstractNumId w:val="0"/>
  </w:num>
  <w:num w:numId="5">
    <w:abstractNumId w:val="13"/>
  </w:num>
  <w:num w:numId="6">
    <w:abstractNumId w:val="5"/>
  </w:num>
  <w:num w:numId="7">
    <w:abstractNumId w:val="25"/>
  </w:num>
  <w:num w:numId="8">
    <w:abstractNumId w:val="41"/>
  </w:num>
  <w:num w:numId="9">
    <w:abstractNumId w:val="22"/>
  </w:num>
  <w:num w:numId="10">
    <w:abstractNumId w:val="2"/>
  </w:num>
  <w:num w:numId="11">
    <w:abstractNumId w:val="21"/>
  </w:num>
  <w:num w:numId="12">
    <w:abstractNumId w:val="23"/>
  </w:num>
  <w:num w:numId="13">
    <w:abstractNumId w:val="12"/>
  </w:num>
  <w:num w:numId="14">
    <w:abstractNumId w:val="38"/>
  </w:num>
  <w:num w:numId="15">
    <w:abstractNumId w:val="11"/>
  </w:num>
  <w:num w:numId="16">
    <w:abstractNumId w:val="15"/>
  </w:num>
  <w:num w:numId="17">
    <w:abstractNumId w:val="27"/>
  </w:num>
  <w:num w:numId="18">
    <w:abstractNumId w:val="40"/>
  </w:num>
  <w:num w:numId="19">
    <w:abstractNumId w:val="14"/>
  </w:num>
  <w:num w:numId="20">
    <w:abstractNumId w:val="29"/>
  </w:num>
  <w:num w:numId="21">
    <w:abstractNumId w:val="37"/>
  </w:num>
  <w:num w:numId="22">
    <w:abstractNumId w:val="4"/>
  </w:num>
  <w:num w:numId="23">
    <w:abstractNumId w:val="19"/>
  </w:num>
  <w:num w:numId="24">
    <w:abstractNumId w:val="9"/>
  </w:num>
  <w:num w:numId="25">
    <w:abstractNumId w:val="20"/>
  </w:num>
  <w:num w:numId="26">
    <w:abstractNumId w:val="3"/>
  </w:num>
  <w:num w:numId="27">
    <w:abstractNumId w:val="30"/>
  </w:num>
  <w:num w:numId="28">
    <w:abstractNumId w:val="1"/>
  </w:num>
  <w:num w:numId="29">
    <w:abstractNumId w:val="26"/>
  </w:num>
  <w:num w:numId="30">
    <w:abstractNumId w:val="39"/>
  </w:num>
  <w:num w:numId="31">
    <w:abstractNumId w:val="36"/>
  </w:num>
  <w:num w:numId="32">
    <w:abstractNumId w:val="34"/>
  </w:num>
  <w:num w:numId="33">
    <w:abstractNumId w:val="17"/>
  </w:num>
  <w:num w:numId="34">
    <w:abstractNumId w:val="33"/>
  </w:num>
  <w:num w:numId="35">
    <w:abstractNumId w:val="8"/>
  </w:num>
  <w:num w:numId="36">
    <w:abstractNumId w:val="24"/>
  </w:num>
  <w:num w:numId="37">
    <w:abstractNumId w:val="7"/>
  </w:num>
  <w:num w:numId="38">
    <w:abstractNumId w:val="18"/>
  </w:num>
  <w:num w:numId="39">
    <w:abstractNumId w:val="16"/>
  </w:num>
  <w:num w:numId="40">
    <w:abstractNumId w:val="31"/>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4B"/>
    <w:rsid w:val="00002119"/>
    <w:rsid w:val="0000355B"/>
    <w:rsid w:val="0001345B"/>
    <w:rsid w:val="000340B1"/>
    <w:rsid w:val="00035F59"/>
    <w:rsid w:val="00036FDC"/>
    <w:rsid w:val="00040D65"/>
    <w:rsid w:val="0004560E"/>
    <w:rsid w:val="000548E7"/>
    <w:rsid w:val="0005671A"/>
    <w:rsid w:val="00062712"/>
    <w:rsid w:val="0009193B"/>
    <w:rsid w:val="000942DB"/>
    <w:rsid w:val="000957A9"/>
    <w:rsid w:val="000D2699"/>
    <w:rsid w:val="000E1C0A"/>
    <w:rsid w:val="000F01B1"/>
    <w:rsid w:val="000F615E"/>
    <w:rsid w:val="000F6A19"/>
    <w:rsid w:val="001060BF"/>
    <w:rsid w:val="00124834"/>
    <w:rsid w:val="00127A7D"/>
    <w:rsid w:val="00127DB4"/>
    <w:rsid w:val="00147B67"/>
    <w:rsid w:val="00181635"/>
    <w:rsid w:val="00191099"/>
    <w:rsid w:val="001C2AAB"/>
    <w:rsid w:val="001D0EF8"/>
    <w:rsid w:val="001D5A48"/>
    <w:rsid w:val="001E317E"/>
    <w:rsid w:val="001F2037"/>
    <w:rsid w:val="001F47D6"/>
    <w:rsid w:val="00212AD2"/>
    <w:rsid w:val="00221474"/>
    <w:rsid w:val="002236D5"/>
    <w:rsid w:val="002372D4"/>
    <w:rsid w:val="002457BE"/>
    <w:rsid w:val="002459A9"/>
    <w:rsid w:val="0025127A"/>
    <w:rsid w:val="00256677"/>
    <w:rsid w:val="0026688F"/>
    <w:rsid w:val="002806A5"/>
    <w:rsid w:val="002865DA"/>
    <w:rsid w:val="002914FA"/>
    <w:rsid w:val="00295FE0"/>
    <w:rsid w:val="002D512F"/>
    <w:rsid w:val="002D7014"/>
    <w:rsid w:val="002E7C28"/>
    <w:rsid w:val="002F3FA8"/>
    <w:rsid w:val="002F4AC0"/>
    <w:rsid w:val="002F6A4E"/>
    <w:rsid w:val="00380752"/>
    <w:rsid w:val="00385B7C"/>
    <w:rsid w:val="003926F3"/>
    <w:rsid w:val="003A145A"/>
    <w:rsid w:val="003A1719"/>
    <w:rsid w:val="003E01B1"/>
    <w:rsid w:val="003E089A"/>
    <w:rsid w:val="004168E1"/>
    <w:rsid w:val="00426780"/>
    <w:rsid w:val="00437B79"/>
    <w:rsid w:val="00440CEC"/>
    <w:rsid w:val="00462D0E"/>
    <w:rsid w:val="00474D2D"/>
    <w:rsid w:val="00477C26"/>
    <w:rsid w:val="00490E39"/>
    <w:rsid w:val="004A069A"/>
    <w:rsid w:val="004C61BD"/>
    <w:rsid w:val="004E26D4"/>
    <w:rsid w:val="004E317A"/>
    <w:rsid w:val="004F04A1"/>
    <w:rsid w:val="00501D69"/>
    <w:rsid w:val="00504EF8"/>
    <w:rsid w:val="005227FC"/>
    <w:rsid w:val="00522A6B"/>
    <w:rsid w:val="00556D61"/>
    <w:rsid w:val="0057139A"/>
    <w:rsid w:val="0057236D"/>
    <w:rsid w:val="005915F7"/>
    <w:rsid w:val="00592FB5"/>
    <w:rsid w:val="005945AC"/>
    <w:rsid w:val="005B2ED0"/>
    <w:rsid w:val="005D1E17"/>
    <w:rsid w:val="005F110B"/>
    <w:rsid w:val="005F302B"/>
    <w:rsid w:val="00604486"/>
    <w:rsid w:val="0061693F"/>
    <w:rsid w:val="00637530"/>
    <w:rsid w:val="00650312"/>
    <w:rsid w:val="00685A1F"/>
    <w:rsid w:val="006909A6"/>
    <w:rsid w:val="006A4B14"/>
    <w:rsid w:val="006C170B"/>
    <w:rsid w:val="006C2B56"/>
    <w:rsid w:val="006D771C"/>
    <w:rsid w:val="006F70C1"/>
    <w:rsid w:val="006F7B05"/>
    <w:rsid w:val="00722230"/>
    <w:rsid w:val="00722ECD"/>
    <w:rsid w:val="0072327A"/>
    <w:rsid w:val="007267E1"/>
    <w:rsid w:val="0073159A"/>
    <w:rsid w:val="00731F9C"/>
    <w:rsid w:val="0074550B"/>
    <w:rsid w:val="00751779"/>
    <w:rsid w:val="00757308"/>
    <w:rsid w:val="00770C0A"/>
    <w:rsid w:val="0077566D"/>
    <w:rsid w:val="00775C5B"/>
    <w:rsid w:val="007A5F67"/>
    <w:rsid w:val="007B20A4"/>
    <w:rsid w:val="007C38D0"/>
    <w:rsid w:val="007C6BB0"/>
    <w:rsid w:val="007E0DD6"/>
    <w:rsid w:val="00804806"/>
    <w:rsid w:val="00850225"/>
    <w:rsid w:val="00851463"/>
    <w:rsid w:val="0085734F"/>
    <w:rsid w:val="0089296D"/>
    <w:rsid w:val="00895B40"/>
    <w:rsid w:val="008C013A"/>
    <w:rsid w:val="008D53A8"/>
    <w:rsid w:val="008D65F6"/>
    <w:rsid w:val="008D703B"/>
    <w:rsid w:val="008F1E9F"/>
    <w:rsid w:val="00912D8E"/>
    <w:rsid w:val="00912E3D"/>
    <w:rsid w:val="009145AE"/>
    <w:rsid w:val="00915DCF"/>
    <w:rsid w:val="0094381E"/>
    <w:rsid w:val="00946762"/>
    <w:rsid w:val="00956BFA"/>
    <w:rsid w:val="00966404"/>
    <w:rsid w:val="00983734"/>
    <w:rsid w:val="009A42CA"/>
    <w:rsid w:val="009A4A5D"/>
    <w:rsid w:val="009B63BE"/>
    <w:rsid w:val="009C4C89"/>
    <w:rsid w:val="009D1476"/>
    <w:rsid w:val="009F15C9"/>
    <w:rsid w:val="009F4C9D"/>
    <w:rsid w:val="00A00834"/>
    <w:rsid w:val="00A13624"/>
    <w:rsid w:val="00A23027"/>
    <w:rsid w:val="00A52FED"/>
    <w:rsid w:val="00A64D5D"/>
    <w:rsid w:val="00A668BD"/>
    <w:rsid w:val="00A805C9"/>
    <w:rsid w:val="00A97FB6"/>
    <w:rsid w:val="00AB42BC"/>
    <w:rsid w:val="00AD1149"/>
    <w:rsid w:val="00AE089C"/>
    <w:rsid w:val="00AE44A1"/>
    <w:rsid w:val="00AF19D2"/>
    <w:rsid w:val="00AF267C"/>
    <w:rsid w:val="00AF57F1"/>
    <w:rsid w:val="00B0367C"/>
    <w:rsid w:val="00B13294"/>
    <w:rsid w:val="00B22CF2"/>
    <w:rsid w:val="00B34A0F"/>
    <w:rsid w:val="00B45625"/>
    <w:rsid w:val="00B640D0"/>
    <w:rsid w:val="00B920CC"/>
    <w:rsid w:val="00BB3458"/>
    <w:rsid w:val="00BD6528"/>
    <w:rsid w:val="00BE1223"/>
    <w:rsid w:val="00BE3846"/>
    <w:rsid w:val="00BF02F8"/>
    <w:rsid w:val="00BF6052"/>
    <w:rsid w:val="00C073BC"/>
    <w:rsid w:val="00C33B3E"/>
    <w:rsid w:val="00C34A29"/>
    <w:rsid w:val="00C75F63"/>
    <w:rsid w:val="00CA1471"/>
    <w:rsid w:val="00CB1FD3"/>
    <w:rsid w:val="00CB4823"/>
    <w:rsid w:val="00CD54D7"/>
    <w:rsid w:val="00CF7DC7"/>
    <w:rsid w:val="00D01ACB"/>
    <w:rsid w:val="00D40023"/>
    <w:rsid w:val="00D46C8B"/>
    <w:rsid w:val="00D845BE"/>
    <w:rsid w:val="00D91011"/>
    <w:rsid w:val="00D95257"/>
    <w:rsid w:val="00DB294B"/>
    <w:rsid w:val="00DD1A92"/>
    <w:rsid w:val="00DD3309"/>
    <w:rsid w:val="00DD3511"/>
    <w:rsid w:val="00DE21E7"/>
    <w:rsid w:val="00DE5666"/>
    <w:rsid w:val="00E4328C"/>
    <w:rsid w:val="00E60B54"/>
    <w:rsid w:val="00E92F5F"/>
    <w:rsid w:val="00E933F6"/>
    <w:rsid w:val="00E9706F"/>
    <w:rsid w:val="00EB1A3D"/>
    <w:rsid w:val="00EC6CDB"/>
    <w:rsid w:val="00EE5B38"/>
    <w:rsid w:val="00EF6D39"/>
    <w:rsid w:val="00F06441"/>
    <w:rsid w:val="00F34CBF"/>
    <w:rsid w:val="00F40BD3"/>
    <w:rsid w:val="00F5622B"/>
    <w:rsid w:val="00F81D68"/>
    <w:rsid w:val="00F968D7"/>
    <w:rsid w:val="00FB171D"/>
    <w:rsid w:val="00FB1EDF"/>
    <w:rsid w:val="00FC7BD4"/>
    <w:rsid w:val="00FE76DB"/>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AAD2"/>
  <w15:chartTrackingRefBased/>
  <w15:docId w15:val="{B908AE32-D97A-45A9-B996-F9CD0697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94B"/>
    <w:pPr>
      <w:spacing w:after="0" w:line="240" w:lineRule="auto"/>
    </w:pPr>
  </w:style>
  <w:style w:type="paragraph" w:customStyle="1" w:styleId="Default">
    <w:name w:val="Default"/>
    <w:rsid w:val="00F06441"/>
    <w:pPr>
      <w:autoSpaceDE w:val="0"/>
      <w:autoSpaceDN w:val="0"/>
      <w:adjustRightInd w:val="0"/>
      <w:spacing w:after="0" w:line="240" w:lineRule="auto"/>
    </w:pPr>
    <w:rPr>
      <w:rFonts w:ascii="Proxima Nova" w:hAnsi="Proxima Nova" w:cs="Proxima Nova"/>
      <w:color w:val="000000"/>
      <w:sz w:val="24"/>
      <w:szCs w:val="24"/>
    </w:rPr>
  </w:style>
  <w:style w:type="character" w:customStyle="1" w:styleId="A6">
    <w:name w:val="A6"/>
    <w:uiPriority w:val="99"/>
    <w:rsid w:val="00F06441"/>
    <w:rPr>
      <w:rFonts w:cs="Proxima Nova"/>
      <w:color w:val="000000"/>
      <w:sz w:val="20"/>
      <w:szCs w:val="20"/>
    </w:rPr>
  </w:style>
  <w:style w:type="paragraph" w:styleId="ListParagraph">
    <w:name w:val="List Paragraph"/>
    <w:basedOn w:val="Normal"/>
    <w:uiPriority w:val="34"/>
    <w:qFormat/>
    <w:rsid w:val="0025127A"/>
    <w:pPr>
      <w:ind w:left="720"/>
      <w:contextualSpacing/>
    </w:pPr>
  </w:style>
  <w:style w:type="character" w:styleId="Hyperlink">
    <w:name w:val="Hyperlink"/>
    <w:basedOn w:val="DefaultParagraphFont"/>
    <w:uiPriority w:val="99"/>
    <w:unhideWhenUsed/>
    <w:rsid w:val="00B0367C"/>
    <w:rPr>
      <w:color w:val="0563C1" w:themeColor="hyperlink"/>
      <w:u w:val="single"/>
    </w:rPr>
  </w:style>
  <w:style w:type="paragraph" w:styleId="Header">
    <w:name w:val="header"/>
    <w:basedOn w:val="Normal"/>
    <w:link w:val="HeaderChar"/>
    <w:uiPriority w:val="99"/>
    <w:unhideWhenUsed/>
    <w:rsid w:val="00B0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7C"/>
  </w:style>
  <w:style w:type="paragraph" w:styleId="Footer">
    <w:name w:val="footer"/>
    <w:basedOn w:val="Normal"/>
    <w:link w:val="FooterChar"/>
    <w:uiPriority w:val="99"/>
    <w:unhideWhenUsed/>
    <w:rsid w:val="00B0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7C"/>
  </w:style>
  <w:style w:type="table" w:styleId="TableGrid">
    <w:name w:val="Table Grid"/>
    <w:basedOn w:val="TableNormal"/>
    <w:uiPriority w:val="39"/>
    <w:rsid w:val="007B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530"/>
    <w:rPr>
      <w:sz w:val="16"/>
      <w:szCs w:val="16"/>
    </w:rPr>
  </w:style>
  <w:style w:type="paragraph" w:styleId="CommentText">
    <w:name w:val="annotation text"/>
    <w:basedOn w:val="Normal"/>
    <w:link w:val="CommentTextChar"/>
    <w:uiPriority w:val="99"/>
    <w:semiHidden/>
    <w:unhideWhenUsed/>
    <w:rsid w:val="00637530"/>
    <w:pPr>
      <w:spacing w:line="240" w:lineRule="auto"/>
    </w:pPr>
    <w:rPr>
      <w:sz w:val="20"/>
      <w:szCs w:val="20"/>
    </w:rPr>
  </w:style>
  <w:style w:type="character" w:customStyle="1" w:styleId="CommentTextChar">
    <w:name w:val="Comment Text Char"/>
    <w:basedOn w:val="DefaultParagraphFont"/>
    <w:link w:val="CommentText"/>
    <w:uiPriority w:val="99"/>
    <w:semiHidden/>
    <w:rsid w:val="00637530"/>
    <w:rPr>
      <w:sz w:val="20"/>
      <w:szCs w:val="20"/>
    </w:rPr>
  </w:style>
  <w:style w:type="paragraph" w:styleId="CommentSubject">
    <w:name w:val="annotation subject"/>
    <w:basedOn w:val="CommentText"/>
    <w:next w:val="CommentText"/>
    <w:link w:val="CommentSubjectChar"/>
    <w:uiPriority w:val="99"/>
    <w:semiHidden/>
    <w:unhideWhenUsed/>
    <w:rsid w:val="00637530"/>
    <w:rPr>
      <w:b/>
      <w:bCs/>
    </w:rPr>
  </w:style>
  <w:style w:type="character" w:customStyle="1" w:styleId="CommentSubjectChar">
    <w:name w:val="Comment Subject Char"/>
    <w:basedOn w:val="CommentTextChar"/>
    <w:link w:val="CommentSubject"/>
    <w:uiPriority w:val="99"/>
    <w:semiHidden/>
    <w:rsid w:val="00637530"/>
    <w:rPr>
      <w:b/>
      <w:bCs/>
      <w:sz w:val="20"/>
      <w:szCs w:val="20"/>
    </w:rPr>
  </w:style>
  <w:style w:type="paragraph" w:styleId="BalloonText">
    <w:name w:val="Balloon Text"/>
    <w:basedOn w:val="Normal"/>
    <w:link w:val="BalloonTextChar"/>
    <w:uiPriority w:val="99"/>
    <w:semiHidden/>
    <w:unhideWhenUsed/>
    <w:rsid w:val="0063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30"/>
    <w:rPr>
      <w:rFonts w:ascii="Segoe UI" w:hAnsi="Segoe UI" w:cs="Segoe UI"/>
      <w:sz w:val="18"/>
      <w:szCs w:val="18"/>
    </w:rPr>
  </w:style>
  <w:style w:type="paragraph" w:styleId="Revision">
    <w:name w:val="Revision"/>
    <w:hidden/>
    <w:uiPriority w:val="99"/>
    <w:semiHidden/>
    <w:rsid w:val="00EB1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readiness@ct.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oolreadines@c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CSDEMID</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DUCLOS, DENISE</cp:lastModifiedBy>
  <cp:revision>2</cp:revision>
  <dcterms:created xsi:type="dcterms:W3CDTF">2020-08-20T21:11:00Z</dcterms:created>
  <dcterms:modified xsi:type="dcterms:W3CDTF">2020-08-20T21:11:00Z</dcterms:modified>
</cp:coreProperties>
</file>