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November 8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October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NHCHiLD, Allyx Schiavone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Membership Slate Review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Education Policy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Committee Structures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National League of Cities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December 6, 2017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