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Guests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Madel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ne Negron, New Haven Board of Education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Tony Nelson, Fathers in Education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Policy &amp; 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Care4Kids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Call To Action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Video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School Readiness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Committee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Racial Equity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Grants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Quality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Infant/Toddler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Pre-k to Grade 3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 (voting members only)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Membership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