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</w: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Annotated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December 5, 2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pm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The 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1"/>
          <w:szCs w:val="21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Announcements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November Council Meeting Minutes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Co-Chair Updates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Update on Meeting with OEC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(information)</w:t>
      </w: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 - The co-chairs will provide a brief update on OEC meeting that took place in November.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Revised Committee Goals and Committee Structure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(discussion/decision)</w:t>
      </w: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 - The co-chairs will present an outline of the NHECC Goals and Strategies for the upcoming year.  The document also includes recommendations for topics to be covered during each meeting.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Committee Updates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Grants Committee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SR Education Consultant Policy Recommendation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 (decision)</w:t>
      </w: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 - Committee co-chair(s)  will review and present for approval an policy for SR programs regarding education consultation requirements.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SR slot transfer recommendation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(decision)</w:t>
      </w: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 - Committee co-chair(s) will review and present a recommendation to move slots between SR programs.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0 - 8 Committee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CTP Goals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(information) </w:t>
      </w: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-Emma K will share an update on the committees' discussion of the Family Engagement Goals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Racial Equity Committee</w:t>
      </w:r>
      <w:r w:rsidDel="00000000" w:rsidR="00000000" w:rsidRPr="00000000">
        <w:rPr>
          <w:rFonts w:ascii="Candara" w:cs="Candara" w:eastAsia="Candara" w:hAnsi="Candara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(information)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Tirzah Kemp will provide an update on infusing equity into all NHECC Council Goals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Randi McCray  will provide an update on the next steps for the Graustein Memorial Fund Training Grant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Membership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(information)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Randi McCray will provide an update on membership recommendations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The Operations Committee has reviewed and revised the membership list to reflect SR legislation requirements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ndara" w:cs="Candara" w:eastAsia="Candara" w:hAnsi="Candara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sz w:val="21"/>
          <w:szCs w:val="21"/>
          <w:rtl w:val="0"/>
        </w:rPr>
        <w:t xml:space="preserve">Randi will be sending an invitation letter to all members who were recommended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January 16, 2019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January 16, 2019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